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rPr>
      </w:pPr>
      <w:bookmarkStart w:id="0" w:name="OLE_LINK25"/>
      <w:bookmarkStart w:id="1" w:name="OLE_LINK24"/>
      <w:bookmarkStart w:id="2" w:name="OLE_LINK33"/>
      <w:bookmarkStart w:id="3" w:name="OLE_LINK34"/>
      <w:bookmarkStart w:id="4" w:name="OLE_LINK12"/>
      <w:bookmarkStart w:id="5" w:name="OLE_LINK13"/>
      <w:r>
        <w:rPr>
          <w:rFonts w:hint="eastAsia" w:ascii="Arial" w:hAnsi="Arial" w:eastAsia="宋体"/>
          <w:b/>
          <w:lang w:eastAsia="ja-JP"/>
        </w:rPr>
        <w:t>3GPP TSG RAN WG1 #</w:t>
      </w:r>
      <w:r>
        <w:rPr>
          <w:rFonts w:hint="eastAsia" w:ascii="Arial" w:hAnsi="Arial" w:eastAsia="宋体"/>
          <w:b/>
        </w:rPr>
        <w:t xml:space="preserve">106-e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R1-210</w:t>
      </w:r>
      <w:r>
        <w:rPr>
          <w:rFonts w:hint="eastAsia" w:ascii="Arial" w:hAnsi="Arial" w:eastAsia="宋体"/>
          <w:b/>
        </w:rPr>
        <w:t>6545</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b/>
        </w:rPr>
        <w:t>e-Meeting</w:t>
      </w:r>
      <w:r>
        <w:rPr>
          <w:rFonts w:ascii="Arial" w:hAnsi="Arial"/>
          <w:b/>
          <w:lang w:eastAsia="ja-JP"/>
        </w:rPr>
        <w:t>,</w:t>
      </w:r>
      <w:r>
        <w:rPr>
          <w:rFonts w:hint="eastAsia" w:ascii="Arial" w:hAnsi="Arial"/>
          <w:b/>
          <w:lang w:eastAsia="ja-JP"/>
        </w:rPr>
        <w:t xml:space="preserve"> </w:t>
      </w:r>
      <w:r>
        <w:rPr>
          <w:rFonts w:hint="eastAsia" w:ascii="Arial" w:hAnsi="Arial"/>
          <w:b/>
        </w:rPr>
        <w:t>August 16</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hint="eastAsia" w:ascii="Arial" w:hAnsi="Arial"/>
          <w:b/>
        </w:rPr>
        <w:t xml:space="preserve"> 27</w:t>
      </w:r>
      <w:r>
        <w:rPr>
          <w:rFonts w:hint="eastAsia" w:ascii="Arial" w:hAnsi="Arial"/>
          <w:b/>
          <w:vertAlign w:val="superscript"/>
        </w:rPr>
        <w:t>th</w:t>
      </w:r>
      <w:r>
        <w:rPr>
          <w:rFonts w:hint="eastAsia" w:ascii="Arial" w:hAnsi="Arial" w:eastAsia="宋体"/>
          <w:b/>
          <w:lang w:eastAsia="ja-JP"/>
        </w:rPr>
        <w:t>, 20</w:t>
      </w:r>
      <w:r>
        <w:rPr>
          <w:rFonts w:hint="eastAsia" w:ascii="Arial" w:hAnsi="Arial" w:eastAsia="宋体"/>
          <w:b/>
        </w:rPr>
        <w:t>21</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Discussion on Multi-TRP HST enhancements</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8.1.2.4</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rPr>
          <w:lang w:val="en-US"/>
        </w:rPr>
      </w:pPr>
      <w:r>
        <w:rPr>
          <w:lang w:val="en-US"/>
        </w:rPr>
        <w:t>Introduction</w:t>
      </w:r>
    </w:p>
    <w:p>
      <w:pPr>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lang w:val="en-GB"/>
        </w:rPr>
        <w:t xml:space="preserve">In RAN#86, Rel-17 WID of further enhancements on </w:t>
      </w:r>
      <w:r>
        <w:rPr>
          <w:rFonts w:hint="eastAsia" w:ascii="Times New Roman" w:hAnsi="Times New Roman"/>
          <w:sz w:val="20"/>
          <w:szCs w:val="20"/>
        </w:rPr>
        <w:t xml:space="preserve">NR </w:t>
      </w:r>
      <w:r>
        <w:rPr>
          <w:rFonts w:hint="eastAsia" w:ascii="Times New Roman" w:hAnsi="Times New Roman"/>
          <w:sz w:val="20"/>
          <w:szCs w:val="20"/>
          <w:lang w:val="en-GB"/>
        </w:rPr>
        <w:t>MIMO is approved [1]</w:t>
      </w:r>
      <w:r>
        <w:rPr>
          <w:rFonts w:hint="eastAsia" w:ascii="Times New Roman" w:hAnsi="Times New Roman"/>
          <w:sz w:val="20"/>
          <w:szCs w:val="20"/>
        </w:rPr>
        <w:t xml:space="preserve"> in which </w:t>
      </w:r>
      <w:r>
        <w:rPr>
          <w:rFonts w:hint="eastAsia" w:ascii="Times New Roman" w:hAnsi="Times New Roman"/>
          <w:sz w:val="20"/>
          <w:szCs w:val="20"/>
          <w:lang w:val="en-GB"/>
        </w:rPr>
        <w:t xml:space="preserve">a particular point is </w:t>
      </w:r>
      <w:r>
        <w:rPr>
          <w:rFonts w:hint="eastAsia" w:ascii="Times New Roman" w:hAnsi="Times New Roman"/>
          <w:sz w:val="20"/>
          <w:szCs w:val="20"/>
        </w:rPr>
        <w:t>for HST-SFN deployment</w:t>
      </w:r>
      <w:r>
        <w:rPr>
          <w:rFonts w:hint="eastAsia" w:ascii="Times New Roman" w:hAnsi="Times New Roman"/>
          <w:sz w:val="20"/>
          <w:szCs w:val="20"/>
          <w:lang w:val="en-GB"/>
        </w:rPr>
        <w:t xml:space="preserve">, targeting </w:t>
      </w:r>
      <w:r>
        <w:rPr>
          <w:rFonts w:hint="eastAsia" w:ascii="Times New Roman" w:hAnsi="Times New Roman"/>
          <w:sz w:val="20"/>
          <w:szCs w:val="20"/>
        </w:rPr>
        <w:t xml:space="preserve">for </w:t>
      </w:r>
      <w:r>
        <w:rPr>
          <w:rFonts w:hint="eastAsia" w:ascii="Times New Roman" w:hAnsi="Times New Roman"/>
          <w:sz w:val="20"/>
          <w:szCs w:val="20"/>
          <w:lang w:val="en-GB"/>
        </w:rPr>
        <w:t>both FR1 and FR2. The detail is given as follows.</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96"/>
              <w:snapToGrid w:val="0"/>
              <w:spacing w:after="0"/>
              <w:ind w:left="0" w:leftChars="0"/>
              <w:jc w:val="both"/>
              <w:rPr>
                <w:rFonts w:ascii="Times New Roman" w:hAnsi="Times New Roman"/>
                <w:i/>
                <w:iCs/>
                <w:sz w:val="20"/>
                <w:szCs w:val="20"/>
              </w:rPr>
            </w:pPr>
            <w:r>
              <w:rPr>
                <w:rFonts w:ascii="Times New Roman" w:hAnsi="Times New Roman"/>
                <w:i/>
                <w:iCs/>
                <w:sz w:val="20"/>
                <w:szCs w:val="20"/>
              </w:rPr>
              <w:t>Enhancement on the support for multi-TRP deployment, targeting both FR1 and FR2:</w:t>
            </w:r>
          </w:p>
          <w:p>
            <w:pPr>
              <w:pStyle w:val="96"/>
              <w:numPr>
                <w:ilvl w:val="0"/>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800" w:leftChars="0"/>
              <w:jc w:val="both"/>
              <w:rPr>
                <w:rFonts w:ascii="Times New Roman" w:hAnsi="Times New Roman"/>
                <w:i/>
                <w:iCs/>
                <w:sz w:val="20"/>
                <w:szCs w:val="20"/>
              </w:rPr>
            </w:pPr>
            <w:r>
              <w:rPr>
                <w:rFonts w:ascii="Times New Roman" w:hAnsi="Times New Roman"/>
                <w:i/>
                <w:iCs/>
                <w:sz w:val="20"/>
                <w:szCs w:val="20"/>
              </w:rPr>
              <w:t>Enhancement to support HST-SFN deployment scenario:</w:t>
            </w:r>
          </w:p>
          <w:p>
            <w:pPr>
              <w:pStyle w:val="96"/>
              <w:numPr>
                <w:ilvl w:val="2"/>
                <w:numId w:val="3"/>
              </w:numPr>
              <w:snapToGrid w:val="0"/>
              <w:spacing w:after="0"/>
              <w:ind w:left="1060"/>
              <w:jc w:val="both"/>
              <w:rPr>
                <w:rFonts w:ascii="Times New Roman" w:hAnsi="Times New Roman"/>
                <w:i/>
                <w:iCs/>
                <w:sz w:val="20"/>
                <w:szCs w:val="20"/>
              </w:rPr>
            </w:pPr>
            <w:r>
              <w:rPr>
                <w:rFonts w:ascii="Times New Roman" w:hAnsi="Times New Roman"/>
                <w:i/>
                <w:iCs/>
                <w:sz w:val="20"/>
                <w:szCs w:val="20"/>
              </w:rPr>
              <w:t>Identify and specify solution(s) on QCL assumption for DMRS, e.g. multiple QCL assumptions for the same DMRS port(s), targeting DL-only transmission</w:t>
            </w:r>
          </w:p>
          <w:p>
            <w:pPr>
              <w:pStyle w:val="96"/>
              <w:numPr>
                <w:ilvl w:val="2"/>
                <w:numId w:val="3"/>
              </w:numPr>
              <w:snapToGrid w:val="0"/>
              <w:spacing w:after="0"/>
              <w:ind w:left="1060"/>
              <w:jc w:val="both"/>
              <w:rPr>
                <w:rFonts w:ascii="Times New Roman" w:hAnsi="Times New Roman"/>
                <w:sz w:val="20"/>
                <w:szCs w:val="20"/>
              </w:rPr>
            </w:pPr>
            <w:r>
              <w:rPr>
                <w:rFonts w:ascii="Times New Roman" w:hAnsi="Times New Roman"/>
                <w:i/>
                <w:iCs/>
                <w:sz w:val="20"/>
                <w:szCs w:val="20"/>
              </w:rPr>
              <w:t>Evaluate and, if the benefit over Rel.16 HST enhancement baseline is demonstrated, specify QCL/QCL-like relation (including applicable type(s) and the associated requirement) between DL and UL signal by reusing the unified TCI framework</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After the intensive discussion, both UE based and network based frequency (pre-)compensation solutions have been agreed. However, there are still many details to be addressed.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this contribution, we provide our </w:t>
      </w:r>
      <w:r>
        <w:rPr>
          <w:rFonts w:ascii="Times New Roman" w:hAnsi="Times New Roman"/>
          <w:sz w:val="20"/>
          <w:szCs w:val="20"/>
        </w:rPr>
        <w:t>views on the open issues</w:t>
      </w:r>
      <w:r>
        <w:rPr>
          <w:rFonts w:hint="eastAsia" w:ascii="Times New Roman" w:hAnsi="Times New Roman"/>
          <w:sz w:val="20"/>
          <w:szCs w:val="20"/>
        </w:rPr>
        <w:t xml:space="preserve"> for HST-SFN </w:t>
      </w:r>
      <w:r>
        <w:rPr>
          <w:rFonts w:ascii="Times New Roman" w:hAnsi="Times New Roman"/>
          <w:sz w:val="20"/>
          <w:szCs w:val="20"/>
        </w:rPr>
        <w:t>enhancements</w:t>
      </w:r>
      <w:r>
        <w:rPr>
          <w:rFonts w:hint="eastAsia" w:ascii="Times New Roman" w:hAnsi="Times New Roman"/>
          <w:sz w:val="20"/>
          <w:szCs w:val="20"/>
        </w:rPr>
        <w:t xml:space="preserve">. </w:t>
      </w:r>
    </w:p>
    <w:p>
      <w:pPr>
        <w:pStyle w:val="2"/>
        <w:snapToGrid w:val="0"/>
        <w:rPr>
          <w:lang w:val="en-US"/>
        </w:rPr>
      </w:pPr>
      <w:r>
        <w:rPr>
          <w:lang w:val="en-US"/>
        </w:rPr>
        <w:t>Discussion</w:t>
      </w:r>
    </w:p>
    <w:p>
      <w:pPr>
        <w:pStyle w:val="3"/>
        <w:numPr>
          <w:ilvl w:val="1"/>
          <w:numId w:val="4"/>
        </w:numPr>
        <w:snapToGrid w:val="0"/>
        <w:spacing w:before="180" w:beforeLines="50" w:after="180" w:afterLines="50" w:line="240" w:lineRule="auto"/>
        <w:rPr>
          <w:rFonts w:ascii="Arial" w:hAnsi="Arial" w:cs="Arial"/>
          <w:sz w:val="24"/>
          <w:szCs w:val="24"/>
          <w:lang w:val="en-US"/>
        </w:rPr>
      </w:pPr>
      <w:r>
        <w:rPr>
          <w:rFonts w:ascii="Arial" w:hAnsi="Arial" w:cs="Arial"/>
          <w:sz w:val="24"/>
          <w:szCs w:val="24"/>
          <w:lang w:val="en-US"/>
        </w:rPr>
        <w:t>QCL assumption</w:t>
      </w:r>
      <w:r>
        <w:rPr>
          <w:rFonts w:hint="eastAsia" w:ascii="Arial" w:hAnsi="Arial" w:cs="Arial"/>
          <w:sz w:val="24"/>
          <w:szCs w:val="24"/>
          <w:lang w:val="en-US"/>
        </w:rPr>
        <w:t xml:space="preserve"> for PDSCH</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RAN1#104bis e-meeting and RAN1#105 e-meeting, great progress has been made for network based pre-compensation</w:t>
      </w:r>
      <w:r>
        <w:rPr>
          <w:rFonts w:ascii="Times New Roman" w:hAnsi="Times New Roman"/>
          <w:sz w:val="20"/>
          <w:szCs w:val="20"/>
        </w:rPr>
        <w:t xml:space="preserve"> as shown in the following agreements</w:t>
      </w:r>
      <w:r>
        <w:rPr>
          <w:rFonts w:hint="eastAsia" w:ascii="Times New Roman" w:hAnsi="Times New Roman"/>
          <w:sz w:val="20"/>
          <w:szCs w:val="20"/>
        </w:rPr>
        <w:t xml:space="preserve">. </w:t>
      </w:r>
      <w:r>
        <w:rPr>
          <w:rFonts w:ascii="Times New Roman" w:hAnsi="Times New Roman"/>
          <w:sz w:val="20"/>
          <w:szCs w:val="20"/>
        </w:rPr>
        <w:t xml:space="preserve">However, there are several open issues for </w:t>
      </w:r>
      <w:r>
        <w:rPr>
          <w:rFonts w:hint="eastAsia" w:ascii="Times New Roman" w:hAnsi="Times New Roman"/>
          <w:sz w:val="20"/>
          <w:szCs w:val="20"/>
        </w:rPr>
        <w:t xml:space="preserve">the network based solution (frequency </w:t>
      </w:r>
      <w:r>
        <w:rPr>
          <w:rFonts w:ascii="Times New Roman" w:hAnsi="Times New Roman"/>
          <w:sz w:val="20"/>
          <w:szCs w:val="20"/>
        </w:rPr>
        <w:t>offset</w:t>
      </w:r>
      <w:r>
        <w:rPr>
          <w:rFonts w:hint="eastAsia" w:ascii="Times New Roman" w:hAnsi="Times New Roman"/>
          <w:sz w:val="20"/>
          <w:szCs w:val="20"/>
        </w:rPr>
        <w:t xml:space="preserve"> pre-compensation), </w:t>
      </w:r>
      <w:r>
        <w:rPr>
          <w:rFonts w:ascii="Times New Roman" w:hAnsi="Times New Roman"/>
          <w:sz w:val="20"/>
          <w:szCs w:val="20"/>
        </w:rPr>
        <w:t xml:space="preserve">including </w:t>
      </w:r>
      <w:r>
        <w:rPr>
          <w:rFonts w:hint="eastAsia" w:ascii="Times New Roman" w:hAnsi="Times New Roman"/>
          <w:sz w:val="20"/>
          <w:szCs w:val="20"/>
        </w:rPr>
        <w:t xml:space="preserve">whether to support Variant B as one of the QCL </w:t>
      </w:r>
      <w:r>
        <w:rPr>
          <w:rFonts w:ascii="Times New Roman" w:hAnsi="Times New Roman"/>
          <w:sz w:val="20"/>
          <w:szCs w:val="20"/>
        </w:rPr>
        <w:t>assumption</w:t>
      </w:r>
      <w:r>
        <w:rPr>
          <w:rFonts w:hint="eastAsia" w:ascii="Times New Roman" w:hAnsi="Times New Roman"/>
          <w:sz w:val="20"/>
          <w:szCs w:val="20"/>
        </w:rPr>
        <w:t xml:space="preserve"> for network based solution, and whether to support explicit </w:t>
      </w:r>
      <w:r>
        <w:rPr>
          <w:rFonts w:ascii="Times New Roman" w:hAnsi="Times New Roman"/>
          <w:sz w:val="20"/>
          <w:szCs w:val="20"/>
        </w:rPr>
        <w:t>report</w:t>
      </w:r>
      <w:r>
        <w:rPr>
          <w:rFonts w:hint="eastAsia" w:ascii="Times New Roman" w:hAnsi="Times New Roman"/>
          <w:sz w:val="20"/>
          <w:szCs w:val="20"/>
        </w:rPr>
        <w:t xml:space="preserve"> of carrier frequency</w:t>
      </w:r>
      <w:r>
        <w:rPr>
          <w:rFonts w:ascii="Times New Roman" w:hAnsi="Times New Roman"/>
          <w:sz w:val="20"/>
          <w:szCs w:val="20"/>
        </w:rPr>
        <w:t xml:space="preserve"> from UE</w:t>
      </w:r>
      <w:r>
        <w:rPr>
          <w:rFonts w:hint="eastAsia" w:ascii="Times New Roman" w:hAnsi="Times New Roman"/>
          <w:sz w:val="20"/>
          <w:szCs w:val="20"/>
        </w:rPr>
        <w:t xml:space="preserve"> as we analyze in the remaining subsections.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rPr>
                <w:rFonts w:ascii="Times New Roman" w:hAnsi="Times New Roman"/>
                <w:b/>
                <w:bCs/>
                <w:i/>
                <w:iCs/>
                <w:sz w:val="20"/>
                <w:szCs w:val="20"/>
                <w:u w:val="single"/>
              </w:rPr>
            </w:pPr>
            <w:r>
              <w:rPr>
                <w:rFonts w:ascii="Times New Roman" w:hAnsi="Times New Roman"/>
                <w:b/>
                <w:bCs/>
                <w:i/>
                <w:iCs/>
                <w:sz w:val="20"/>
                <w:szCs w:val="20"/>
                <w:u w:val="single"/>
              </w:rPr>
              <w:t>Agreement</w:t>
            </w:r>
            <w:r>
              <w:rPr>
                <w:rFonts w:hint="eastAsia" w:ascii="Times New Roman" w:hAnsi="Times New Roman"/>
                <w:b/>
                <w:bCs/>
                <w:i/>
                <w:iCs/>
                <w:sz w:val="20"/>
                <w:szCs w:val="20"/>
                <w:u w:val="single"/>
              </w:rPr>
              <w:t>#</w:t>
            </w:r>
            <w:r>
              <w:rPr>
                <w:rFonts w:ascii="Times New Roman" w:hAnsi="Times New Roman"/>
                <w:b/>
                <w:bCs/>
                <w:i/>
                <w:iCs/>
                <w:sz w:val="20"/>
                <w:szCs w:val="20"/>
                <w:u w:val="single"/>
              </w:rPr>
              <w:t>1</w:t>
            </w:r>
            <w:r>
              <w:rPr>
                <w:rFonts w:hint="eastAsia" w:ascii="Times New Roman" w:hAnsi="Times New Roman"/>
                <w:b/>
                <w:bCs/>
                <w:i/>
                <w:iCs/>
                <w:sz w:val="20"/>
                <w:szCs w:val="20"/>
                <w:u w:val="single"/>
              </w:rPr>
              <w:t>:</w:t>
            </w:r>
          </w:p>
          <w:p>
            <w:pPr>
              <w:pStyle w:val="96"/>
              <w:snapToGrid w:val="0"/>
              <w:spacing w:after="0" w:line="240" w:lineRule="auto"/>
              <w:ind w:left="0" w:leftChars="0"/>
              <w:jc w:val="both"/>
              <w:rPr>
                <w:rFonts w:ascii="Times New Roman" w:hAnsi="Times New Roman"/>
                <w:i/>
                <w:iCs/>
                <w:sz w:val="20"/>
                <w:szCs w:val="20"/>
                <w:lang w:eastAsia="ko-KR"/>
              </w:rPr>
            </w:pPr>
            <w:r>
              <w:rPr>
                <w:rFonts w:ascii="Times New Roman" w:hAnsi="Times New Roman"/>
                <w:i/>
                <w:iCs/>
                <w:sz w:val="20"/>
                <w:szCs w:val="20"/>
                <w:lang w:eastAsia="ko-KR"/>
              </w:rPr>
              <w:t>When the same DMRS port(s) are associated with two TCI states containing TRS as source reference signal, at least one variant is supported for Rel-17 HST-SFN scenario based on further evaluations</w:t>
            </w:r>
          </w:p>
          <w:p>
            <w:pPr>
              <w:numPr>
                <w:ilvl w:val="0"/>
                <w:numId w:val="5"/>
              </w:numPr>
              <w:snapToGrid w:val="0"/>
              <w:spacing w:after="0" w:line="240" w:lineRule="auto"/>
              <w:rPr>
                <w:rFonts w:ascii="Times New Roman" w:hAnsi="Times New Roman"/>
                <w:i/>
                <w:iCs/>
                <w:sz w:val="20"/>
                <w:szCs w:val="20"/>
              </w:rPr>
            </w:pPr>
            <w:r>
              <w:rPr>
                <w:rFonts w:ascii="Times New Roman" w:hAnsi="Times New Roman"/>
                <w:b/>
                <w:i/>
                <w:iCs/>
                <w:sz w:val="20"/>
                <w:szCs w:val="20"/>
              </w:rPr>
              <w:t>Variant A</w:t>
            </w:r>
            <w:r>
              <w:rPr>
                <w:rFonts w:ascii="Times New Roman" w:hAnsi="Times New Roman"/>
                <w:i/>
                <w:iCs/>
                <w:sz w:val="20"/>
                <w:szCs w:val="20"/>
              </w:rPr>
              <w:t>: One of the TCI state can be associated with {average delay, delay spread} and another TCI states can be associated with {average delay, delay spread, Doppler shift, Doppler spread} (i.e., QCL-TypeA)</w:t>
            </w:r>
          </w:p>
          <w:p>
            <w:pPr>
              <w:numPr>
                <w:ilvl w:val="0"/>
                <w:numId w:val="5"/>
              </w:numPr>
              <w:snapToGrid w:val="0"/>
              <w:spacing w:after="0" w:line="240" w:lineRule="auto"/>
              <w:rPr>
                <w:rFonts w:ascii="Times New Roman" w:hAnsi="Times New Roman"/>
                <w:i/>
                <w:iCs/>
                <w:sz w:val="20"/>
                <w:szCs w:val="20"/>
              </w:rPr>
            </w:pPr>
            <w:r>
              <w:rPr>
                <w:rFonts w:ascii="Times New Roman" w:hAnsi="Times New Roman"/>
                <w:b/>
                <w:bCs/>
                <w:i/>
                <w:iCs/>
                <w:sz w:val="20"/>
                <w:szCs w:val="20"/>
                <w:lang w:eastAsia="ko-KR"/>
              </w:rPr>
              <w:t>Variant B</w:t>
            </w:r>
            <w:r>
              <w:rPr>
                <w:rFonts w:ascii="Times New Roman" w:hAnsi="Times New Roman"/>
                <w:i/>
                <w:iCs/>
                <w:sz w:val="20"/>
                <w:szCs w:val="20"/>
                <w:lang w:eastAsia="ko-KR"/>
              </w:rPr>
              <w:t>: One of the TCI state can be associated with {average delay, delay spread} and another TCI state with {Doppler shift, Doppler spread} (i.e., QCL-TypeB)</w:t>
            </w:r>
          </w:p>
          <w:p>
            <w:pPr>
              <w:numPr>
                <w:ilvl w:val="0"/>
                <w:numId w:val="5"/>
              </w:numPr>
              <w:snapToGrid w:val="0"/>
              <w:spacing w:after="0" w:line="240" w:lineRule="auto"/>
              <w:rPr>
                <w:rFonts w:ascii="Times New Roman" w:hAnsi="Times New Roman"/>
                <w:i/>
                <w:iCs/>
                <w:sz w:val="20"/>
                <w:szCs w:val="20"/>
              </w:rPr>
            </w:pPr>
            <w:r>
              <w:rPr>
                <w:rFonts w:ascii="Times New Roman" w:hAnsi="Times New Roman"/>
                <w:b/>
                <w:bCs/>
                <w:i/>
                <w:iCs/>
                <w:sz w:val="20"/>
                <w:szCs w:val="20"/>
                <w:lang w:eastAsia="ko-KR"/>
              </w:rPr>
              <w:t>Variant C</w:t>
            </w:r>
            <w:r>
              <w:rPr>
                <w:rFonts w:ascii="Times New Roman" w:hAnsi="Times New Roman"/>
                <w:i/>
                <w:iCs/>
                <w:sz w:val="20"/>
                <w:szCs w:val="20"/>
                <w:lang w:eastAsia="ko-KR"/>
              </w:rPr>
              <w:t>: One of the TCI state can be associated with {delay spread}  and another TCI states can be associated with {average delay, delay spread, Doppler shift, Doppler spread} (i.e., QCL-TypeA)</w:t>
            </w:r>
          </w:p>
          <w:p>
            <w:pPr>
              <w:numPr>
                <w:ilvl w:val="0"/>
                <w:numId w:val="5"/>
              </w:numPr>
              <w:snapToGrid w:val="0"/>
              <w:spacing w:after="0" w:line="240" w:lineRule="auto"/>
              <w:rPr>
                <w:rFonts w:ascii="Times New Roman" w:hAnsi="Times New Roman"/>
                <w:i/>
                <w:iCs/>
                <w:sz w:val="20"/>
                <w:szCs w:val="20"/>
              </w:rPr>
            </w:pPr>
            <w:r>
              <w:rPr>
                <w:rFonts w:ascii="Times New Roman" w:hAnsi="Times New Roman"/>
                <w:b/>
                <w:bCs/>
                <w:i/>
                <w:iCs/>
                <w:sz w:val="20"/>
                <w:szCs w:val="20"/>
                <w:lang w:eastAsia="ko-KR"/>
              </w:rPr>
              <w:t>Variant E</w:t>
            </w:r>
            <w:r>
              <w:rPr>
                <w:rFonts w:ascii="Times New Roman" w:hAnsi="Times New Roman"/>
                <w:i/>
                <w:iCs/>
                <w:sz w:val="20"/>
                <w:szCs w:val="20"/>
                <w:lang w:eastAsia="ko-KR"/>
              </w:rPr>
              <w:t>: Both TCI states can be associated with {average delay, delay spread, Doppler shift, Doppler spread} (i.e., QCL-TypeA)</w:t>
            </w:r>
          </w:p>
          <w:p>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lang w:eastAsia="ko-KR"/>
              </w:rPr>
              <w:t>FFS: Indication method to apply QCL, e.g., via new QCL-type, or reuse existing QCL-type while UE to ignore certain QCL properties</w:t>
            </w:r>
          </w:p>
          <w:p>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lang w:eastAsia="ko-KR"/>
              </w:rPr>
              <w:t>Note: Each TCI state in the above variants may be additionally associated with {Spatial Rx parameter} (i.e., QCL-TypeD)</w:t>
            </w:r>
          </w:p>
          <w:p>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lang w:eastAsia="ko-KR"/>
              </w:rPr>
              <w:t>Note: Companies are encouraged to provide evaluation results for the above variants based on agreed EVM from RAN1#102e meeting</w:t>
            </w:r>
          </w:p>
          <w:p>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lang w:eastAsia="ko-KR"/>
              </w:rPr>
              <w:t>Note: Above variants are applicable to scheme 1 and/or TRP based pre-compensation as a reference for evaluation.</w:t>
            </w:r>
          </w:p>
          <w:p>
            <w:pPr>
              <w:snapToGrid w:val="0"/>
              <w:spacing w:after="0" w:line="240" w:lineRule="auto"/>
              <w:rPr>
                <w:rFonts w:ascii="Times New Roman" w:hAnsi="Times New Roman"/>
                <w:b/>
                <w:bCs/>
                <w:i/>
                <w:iCs/>
                <w:sz w:val="20"/>
                <w:szCs w:val="20"/>
                <w:u w:val="single"/>
              </w:rPr>
            </w:pPr>
          </w:p>
          <w:p>
            <w:pPr>
              <w:snapToGrid w:val="0"/>
              <w:spacing w:after="0" w:line="240" w:lineRule="auto"/>
              <w:rPr>
                <w:rFonts w:ascii="Times New Roman" w:hAnsi="Times New Roman"/>
                <w:b/>
                <w:bCs/>
                <w:i/>
                <w:iCs/>
                <w:sz w:val="20"/>
                <w:szCs w:val="20"/>
                <w:u w:val="single"/>
              </w:rPr>
            </w:pPr>
            <w:r>
              <w:rPr>
                <w:rFonts w:hint="eastAsia" w:ascii="Times New Roman" w:hAnsi="Times New Roman"/>
                <w:b/>
                <w:bCs/>
                <w:i/>
                <w:iCs/>
                <w:sz w:val="20"/>
                <w:szCs w:val="20"/>
                <w:u w:val="single"/>
              </w:rPr>
              <w:t>Working Assumption#1:</w:t>
            </w:r>
          </w:p>
          <w:p>
            <w:pPr>
              <w:pStyle w:val="96"/>
              <w:snapToGrid w:val="0"/>
              <w:spacing w:after="0" w:line="240" w:lineRule="auto"/>
              <w:ind w:left="0" w:leftChars="0"/>
              <w:jc w:val="both"/>
              <w:rPr>
                <w:rFonts w:ascii="Times New Roman" w:hAnsi="Times New Roman"/>
                <w:i/>
                <w:iCs/>
                <w:sz w:val="20"/>
                <w:szCs w:val="20"/>
                <w:lang w:eastAsia="ko-KR"/>
              </w:rPr>
            </w:pPr>
            <w:r>
              <w:rPr>
                <w:rFonts w:ascii="Times New Roman" w:hAnsi="Times New Roman"/>
                <w:i/>
                <w:iCs/>
                <w:sz w:val="20"/>
                <w:szCs w:val="20"/>
                <w:lang w:eastAsia="ko-KR"/>
              </w:rPr>
              <w:t>For TRP-based pre-compensation, Variant A (based on RAN1#103-e meeting agreement) are supported as QCL types/assumption, when the same DMRS port(s) are associated with two TCI states.</w:t>
            </w:r>
          </w:p>
          <w:p>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rPr>
              <w:t>FFS: Additional support of Variant B</w:t>
            </w:r>
          </w:p>
          <w:p>
            <w:pPr>
              <w:snapToGrid w:val="0"/>
              <w:spacing w:after="0" w:line="240" w:lineRule="auto"/>
              <w:rPr>
                <w:rFonts w:ascii="Times New Roman" w:hAnsi="Times New Roman"/>
                <w:i/>
                <w:iCs/>
                <w:sz w:val="20"/>
                <w:szCs w:val="20"/>
              </w:rPr>
            </w:pPr>
          </w:p>
          <w:p>
            <w:pPr>
              <w:snapToGrid w:val="0"/>
              <w:spacing w:after="0"/>
              <w:rPr>
                <w:rFonts w:ascii="Times New Roman" w:hAnsi="Times New Roman"/>
                <w:b/>
                <w:bCs/>
                <w:i/>
                <w:iCs/>
                <w:sz w:val="20"/>
                <w:szCs w:val="20"/>
                <w:u w:val="single"/>
              </w:rPr>
            </w:pPr>
            <w:r>
              <w:rPr>
                <w:rFonts w:ascii="Times New Roman" w:hAnsi="Times New Roman"/>
                <w:b/>
                <w:bCs/>
                <w:i/>
                <w:iCs/>
                <w:sz w:val="20"/>
                <w:szCs w:val="20"/>
                <w:u w:val="single"/>
              </w:rPr>
              <w:t>Agreement</w:t>
            </w:r>
            <w:r>
              <w:rPr>
                <w:rFonts w:hint="eastAsia" w:ascii="Times New Roman" w:hAnsi="Times New Roman"/>
                <w:b/>
                <w:bCs/>
                <w:i/>
                <w:iCs/>
                <w:sz w:val="20"/>
                <w:szCs w:val="20"/>
                <w:u w:val="single"/>
              </w:rPr>
              <w:t>#2:</w:t>
            </w:r>
          </w:p>
          <w:p>
            <w:pPr>
              <w:numPr>
                <w:ilvl w:val="0"/>
                <w:numId w:val="6"/>
              </w:numPr>
              <w:spacing w:after="0" w:line="240" w:lineRule="auto"/>
              <w:ind w:hanging="363"/>
              <w:rPr>
                <w:rFonts w:ascii="Times New Roman" w:hAnsi="Times New Roman"/>
                <w:i/>
                <w:iCs/>
                <w:sz w:val="20"/>
                <w:szCs w:val="20"/>
              </w:rPr>
            </w:pPr>
            <w:r>
              <w:rPr>
                <w:rFonts w:ascii="Times New Roman" w:hAnsi="Times New Roman"/>
                <w:i/>
                <w:iCs/>
                <w:sz w:val="20"/>
                <w:szCs w:val="20"/>
              </w:rPr>
              <w:t xml:space="preserve">For TRP-based pre-compensation QCL assumptions is provided to the UE by using the existing QCL type(s) with certain QCL parameters dropped from the indicted QCL type </w:t>
            </w:r>
          </w:p>
          <w:p>
            <w:pPr>
              <w:pStyle w:val="103"/>
              <w:numPr>
                <w:ilvl w:val="1"/>
                <w:numId w:val="7"/>
              </w:numPr>
              <w:spacing w:before="0" w:beforeAutospacing="0" w:after="0" w:afterAutospacing="0" w:line="240" w:lineRule="auto"/>
              <w:ind w:hanging="363"/>
              <w:rPr>
                <w:rFonts w:ascii="Times New Roman" w:hAnsi="Times New Roman" w:eastAsia="Times New Roman" w:cs="Times New Roman"/>
                <w:i/>
                <w:iCs/>
                <w:sz w:val="20"/>
                <w:szCs w:val="20"/>
              </w:rPr>
            </w:pPr>
            <w:r>
              <w:rPr>
                <w:rFonts w:ascii="Times New Roman" w:hAnsi="Times New Roman" w:eastAsia="Times New Roman" w:cs="Times New Roman"/>
                <w:i/>
                <w:iCs/>
                <w:sz w:val="20"/>
                <w:szCs w:val="20"/>
              </w:rPr>
              <w:t>FFS rule or signalling to determine which TCI state with dropped QCL parameters</w:t>
            </w:r>
          </w:p>
          <w:p>
            <w:pPr>
              <w:numPr>
                <w:ilvl w:val="0"/>
                <w:numId w:val="6"/>
              </w:numPr>
              <w:spacing w:after="0" w:line="240" w:lineRule="auto"/>
              <w:ind w:hanging="363"/>
              <w:rPr>
                <w:rFonts w:ascii="Times New Roman" w:hAnsi="Times New Roman"/>
                <w:i/>
                <w:iCs/>
                <w:sz w:val="20"/>
                <w:szCs w:val="20"/>
              </w:rPr>
            </w:pPr>
            <w:r>
              <w:rPr>
                <w:rFonts w:ascii="Times New Roman" w:hAnsi="Times New Roman"/>
                <w:i/>
                <w:iCs/>
                <w:sz w:val="20"/>
                <w:szCs w:val="20"/>
              </w:rPr>
              <w:t>UE does not expect to be configured</w:t>
            </w:r>
            <w:r>
              <w:rPr>
                <w:rStyle w:val="68"/>
                <w:rFonts w:ascii="Times New Roman" w:hAnsi="Times New Roman"/>
                <w:i/>
                <w:iCs/>
                <w:sz w:val="20"/>
                <w:szCs w:val="20"/>
              </w:rPr>
              <w:t> </w:t>
            </w:r>
            <w:r>
              <w:rPr>
                <w:rFonts w:ascii="Times New Roman" w:hAnsi="Times New Roman"/>
                <w:i/>
                <w:iCs/>
                <w:sz w:val="20"/>
                <w:szCs w:val="20"/>
              </w:rPr>
              <w:t xml:space="preserve">different SFN schemes (scheme 1 or TRP pre-compensation) for both PDCCH and PDSCH. </w:t>
            </w:r>
          </w:p>
          <w:p>
            <w:pPr>
              <w:pStyle w:val="103"/>
              <w:numPr>
                <w:ilvl w:val="1"/>
                <w:numId w:val="7"/>
              </w:numPr>
              <w:spacing w:before="0" w:beforeAutospacing="0" w:after="0" w:afterAutospacing="0" w:line="240" w:lineRule="auto"/>
              <w:ind w:hanging="363"/>
              <w:rPr>
                <w:rFonts w:ascii="Times New Roman" w:hAnsi="Times New Roman" w:eastAsia="Times New Roman" w:cs="Times New Roman"/>
                <w:i/>
                <w:iCs/>
                <w:sz w:val="20"/>
                <w:szCs w:val="20"/>
              </w:rPr>
            </w:pPr>
            <w:r>
              <w:rPr>
                <w:rFonts w:ascii="Times New Roman" w:hAnsi="Times New Roman" w:eastAsia="Times New Roman" w:cs="Times New Roman"/>
                <w:i/>
                <w:iCs/>
                <w:sz w:val="20"/>
                <w:szCs w:val="20"/>
              </w:rPr>
              <w:t>FFS whether this restriction is per UE or per CC</w:t>
            </w:r>
          </w:p>
          <w:p>
            <w:pPr>
              <w:numPr>
                <w:ilvl w:val="0"/>
                <w:numId w:val="6"/>
              </w:numPr>
              <w:spacing w:after="0" w:line="240" w:lineRule="auto"/>
              <w:ind w:hanging="363"/>
              <w:rPr>
                <w:rFonts w:ascii="Times New Roman" w:hAnsi="Times New Roman"/>
                <w:i/>
                <w:iCs/>
                <w:sz w:val="20"/>
                <w:szCs w:val="20"/>
              </w:rPr>
            </w:pPr>
            <w:r>
              <w:rPr>
                <w:rFonts w:ascii="Times New Roman" w:hAnsi="Times New Roman"/>
                <w:i/>
                <w:iCs/>
                <w:sz w:val="20"/>
                <w:szCs w:val="20"/>
              </w:rPr>
              <w:t xml:space="preserve">UE does not expect to be configured different SFN schemes (scheme 1 or TRP pre-compensation) for different CORESETs. </w:t>
            </w:r>
          </w:p>
          <w:p>
            <w:pPr>
              <w:pStyle w:val="103"/>
              <w:numPr>
                <w:ilvl w:val="1"/>
                <w:numId w:val="7"/>
              </w:numPr>
              <w:spacing w:before="0" w:beforeAutospacing="0" w:after="0" w:afterAutospacing="0" w:line="240" w:lineRule="auto"/>
              <w:ind w:hanging="363"/>
              <w:rPr>
                <w:rFonts w:ascii="Times New Roman" w:hAnsi="Times New Roman"/>
                <w:b/>
                <w:bCs/>
                <w:iCs/>
                <w:sz w:val="20"/>
                <w:szCs w:val="20"/>
                <w:u w:val="single"/>
              </w:rPr>
            </w:pPr>
            <w:r>
              <w:rPr>
                <w:rFonts w:ascii="Times New Roman" w:hAnsi="Times New Roman" w:eastAsia="Times New Roman" w:cs="Times New Roman"/>
                <w:i/>
                <w:iCs/>
                <w:sz w:val="20"/>
                <w:szCs w:val="20"/>
              </w:rPr>
              <w:t>FFS whether this restriction is per UE or per CC</w:t>
            </w:r>
          </w:p>
        </w:tc>
      </w:tr>
    </w:tbl>
    <w:p>
      <w:pPr>
        <w:pStyle w:val="4"/>
        <w:snapToGrid w:val="0"/>
        <w:spacing w:before="180" w:beforeLines="50" w:after="180" w:afterLines="50" w:line="240" w:lineRule="auto"/>
        <w:rPr>
          <w:rFonts w:ascii="Times New Roman" w:hAnsi="Times New Roman"/>
          <w:sz w:val="24"/>
          <w:szCs w:val="24"/>
          <w:lang w:val="en-US"/>
        </w:rPr>
      </w:pPr>
      <w:r>
        <w:rPr>
          <w:rFonts w:ascii="Times New Roman" w:hAnsi="Times New Roman"/>
          <w:sz w:val="24"/>
          <w:szCs w:val="24"/>
          <w:lang w:val="en-US"/>
        </w:rPr>
        <w:t>QCL variant for network based SFN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w:t>
      </w:r>
      <w:r>
        <w:rPr>
          <w:rFonts w:ascii="Times New Roman" w:hAnsi="Times New Roman"/>
          <w:sz w:val="20"/>
          <w:szCs w:val="20"/>
        </w:rPr>
        <w:t xml:space="preserve"> </w:t>
      </w:r>
      <w:r>
        <w:rPr>
          <w:rFonts w:hint="eastAsia" w:ascii="Times New Roman" w:hAnsi="Times New Roman"/>
          <w:sz w:val="20"/>
          <w:szCs w:val="20"/>
        </w:rPr>
        <w:t>RAN</w:t>
      </w:r>
      <w:r>
        <w:rPr>
          <w:rFonts w:ascii="Times New Roman" w:hAnsi="Times New Roman"/>
          <w:sz w:val="20"/>
          <w:szCs w:val="20"/>
        </w:rPr>
        <w:t>#104bis-e meeting, there are thorough discussion on the candidates of QCL variants for network based SFN as listed in the above Agreement#1</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Variant A, UE estimates the Doppler and delay related parameters</w:t>
      </w:r>
      <w:r>
        <w:rPr>
          <w:rFonts w:ascii="Times New Roman" w:hAnsi="Times New Roman"/>
          <w:sz w:val="20"/>
          <w:szCs w:val="20"/>
        </w:rPr>
        <w:t xml:space="preserve"> </w:t>
      </w:r>
      <w:r>
        <w:rPr>
          <w:rFonts w:ascii="Times New Roman" w:hAnsi="Times New Roman"/>
          <w:iCs/>
          <w:sz w:val="20"/>
          <w:szCs w:val="20"/>
        </w:rPr>
        <w:t>{average delay, delay spread, Doppler shift, Doppler spread}</w:t>
      </w:r>
      <w:r>
        <w:rPr>
          <w:rFonts w:hint="eastAsia" w:ascii="Times New Roman" w:hAnsi="Times New Roman"/>
          <w:sz w:val="20"/>
          <w:szCs w:val="20"/>
        </w:rPr>
        <w:t xml:space="preserve"> from one of two TCI states, and only estimate</w:t>
      </w:r>
      <w:r>
        <w:rPr>
          <w:rFonts w:ascii="Times New Roman" w:hAnsi="Times New Roman"/>
          <w:sz w:val="20"/>
          <w:szCs w:val="20"/>
        </w:rPr>
        <w:t>s</w:t>
      </w:r>
      <w:r>
        <w:rPr>
          <w:rFonts w:hint="eastAsia" w:ascii="Times New Roman" w:hAnsi="Times New Roman"/>
          <w:sz w:val="20"/>
          <w:szCs w:val="20"/>
        </w:rPr>
        <w:t xml:space="preserve"> delay related parameters</w:t>
      </w:r>
      <w:r>
        <w:rPr>
          <w:rFonts w:ascii="Times New Roman" w:hAnsi="Times New Roman"/>
          <w:i/>
          <w:iCs/>
          <w:sz w:val="20"/>
          <w:szCs w:val="20"/>
          <w:lang w:eastAsia="ko-KR"/>
        </w:rPr>
        <w:t xml:space="preserve"> </w:t>
      </w:r>
      <w:r>
        <w:rPr>
          <w:rFonts w:ascii="Times New Roman" w:hAnsi="Times New Roman"/>
          <w:iCs/>
          <w:sz w:val="20"/>
          <w:szCs w:val="20"/>
          <w:lang w:eastAsia="ko-KR"/>
        </w:rPr>
        <w:t>{average delay, delay spread}</w:t>
      </w:r>
      <w:r>
        <w:rPr>
          <w:rFonts w:ascii="Times New Roman" w:hAnsi="Times New Roman"/>
          <w:i/>
          <w:iCs/>
          <w:sz w:val="20"/>
          <w:szCs w:val="20"/>
          <w:lang w:eastAsia="ko-KR"/>
        </w:rPr>
        <w:t xml:space="preserve"> </w:t>
      </w:r>
      <w:r>
        <w:rPr>
          <w:rFonts w:hint="eastAsia" w:ascii="Times New Roman" w:hAnsi="Times New Roman"/>
          <w:sz w:val="20"/>
          <w:szCs w:val="20"/>
        </w:rPr>
        <w:t>from the other TCI state.</w:t>
      </w:r>
      <w:r>
        <w:rPr>
          <w:rFonts w:ascii="Times New Roman" w:hAnsi="Times New Roman"/>
          <w:sz w:val="20"/>
          <w:szCs w:val="20"/>
        </w:rPr>
        <w:t xml:space="preserve"> Based on this solution, SFNed TRS transmission is not needed, so TRS transmission can still be implemented as cell specific to save RS overhead.</w:t>
      </w:r>
      <w:r>
        <w:rPr>
          <w:rFonts w:hint="eastAsia" w:ascii="Times New Roman" w:hAnsi="Times New Roman"/>
          <w:sz w:val="20"/>
          <w:szCs w:val="20"/>
        </w:rPr>
        <w:t xml:space="preserve"> In RAN#105 e-meeting, as shown in working Assumption#1, Variant A was </w:t>
      </w:r>
      <w:r>
        <w:rPr>
          <w:rFonts w:ascii="Times New Roman" w:hAnsi="Times New Roman"/>
          <w:sz w:val="20"/>
          <w:szCs w:val="20"/>
        </w:rPr>
        <w:t xml:space="preserve">supported by </w:t>
      </w:r>
      <w:r>
        <w:rPr>
          <w:rFonts w:hint="eastAsia" w:ascii="Times New Roman" w:hAnsi="Times New Roman"/>
          <w:sz w:val="20"/>
          <w:szCs w:val="20"/>
        </w:rPr>
        <w:t>most companies</w:t>
      </w:r>
      <w:r>
        <w:rPr>
          <w:rFonts w:ascii="Times New Roman" w:hAnsi="Times New Roman"/>
          <w:sz w:val="20"/>
          <w:szCs w:val="20"/>
        </w:rPr>
        <w:t xml:space="preserve"> </w:t>
      </w:r>
      <w:r>
        <w:rPr>
          <w:rFonts w:hint="eastAsia" w:ascii="Times New Roman" w:hAnsi="Times New Roman"/>
          <w:sz w:val="20"/>
          <w:szCs w:val="20"/>
        </w:rPr>
        <w:t>[2], so the working assumption of support of Variant A should be confirmed</w:t>
      </w:r>
      <w:r>
        <w:rPr>
          <w:rFonts w:ascii="Times New Roman" w:hAnsi="Times New Roman"/>
          <w:sz w:val="20"/>
          <w:szCs w:val="20"/>
        </w:rPr>
        <w:t>.</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w:t>
      </w:r>
      <w:r>
        <w:rPr>
          <w:rFonts w:ascii="Times New Roman" w:hAnsi="Times New Roman"/>
          <w:sz w:val="20"/>
          <w:szCs w:val="20"/>
        </w:rPr>
        <w:t>Variant B</w:t>
      </w:r>
      <w:r>
        <w:rPr>
          <w:rFonts w:hint="eastAsia" w:ascii="Times New Roman" w:hAnsi="Times New Roman"/>
          <w:sz w:val="20"/>
          <w:szCs w:val="20"/>
        </w:rPr>
        <w:t>, c</w:t>
      </w:r>
      <w:r>
        <w:rPr>
          <w:rFonts w:ascii="Times New Roman" w:hAnsi="Times New Roman"/>
          <w:sz w:val="20"/>
          <w:szCs w:val="20"/>
        </w:rPr>
        <w:t xml:space="preserve">ompared with Variant A, SFNed TRS is needed. So UE can estimate </w:t>
      </w:r>
      <w:r>
        <w:rPr>
          <w:rFonts w:ascii="Times New Roman" w:hAnsi="Times New Roman"/>
          <w:iCs/>
          <w:sz w:val="20"/>
          <w:szCs w:val="20"/>
        </w:rPr>
        <w:t>{Doppler shift, Doppler spread} based on TRS resource set from the TRP0, and estimate {average delay, delay spread }</w:t>
      </w:r>
      <w:r>
        <w:rPr>
          <w:rFonts w:hint="eastAsia" w:ascii="Times New Roman" w:hAnsi="Times New Roman"/>
          <w:sz w:val="20"/>
          <w:szCs w:val="20"/>
        </w:rPr>
        <w:t xml:space="preserve"> from </w:t>
      </w:r>
      <w:r>
        <w:rPr>
          <w:rFonts w:ascii="Times New Roman" w:hAnsi="Times New Roman"/>
          <w:sz w:val="20"/>
          <w:szCs w:val="20"/>
        </w:rPr>
        <w:t xml:space="preserve">the SFNed TRS resource set which are transmitted from both TRP0 and TRP1. </w:t>
      </w:r>
      <w:r>
        <w:rPr>
          <w:rFonts w:hint="eastAsia" w:ascii="Times New Roman" w:hAnsi="Times New Roman"/>
          <w:iCs/>
          <w:sz w:val="20"/>
          <w:szCs w:val="20"/>
        </w:rPr>
        <w:t>It can be found that</w:t>
      </w:r>
      <w:r>
        <w:rPr>
          <w:rFonts w:ascii="Times New Roman" w:hAnsi="Times New Roman"/>
          <w:iCs/>
          <w:sz w:val="20"/>
          <w:szCs w:val="20"/>
        </w:rPr>
        <w:t xml:space="preserve">, </w:t>
      </w:r>
      <w:r>
        <w:rPr>
          <w:rFonts w:hint="eastAsia" w:ascii="Times New Roman" w:hAnsi="Times New Roman"/>
          <w:sz w:val="20"/>
          <w:szCs w:val="20"/>
        </w:rPr>
        <w:t>t</w:t>
      </w:r>
      <w:r>
        <w:rPr>
          <w:rFonts w:ascii="Times New Roman" w:hAnsi="Times New Roman"/>
          <w:sz w:val="20"/>
          <w:szCs w:val="20"/>
        </w:rPr>
        <w:t>his solution</w:t>
      </w:r>
      <w:r>
        <w:rPr>
          <w:rFonts w:ascii="Times New Roman" w:hAnsi="Times New Roman"/>
          <w:iCs/>
          <w:sz w:val="20"/>
          <w:szCs w:val="20"/>
        </w:rPr>
        <w:t xml:space="preserve"> causes more TRS overhead </w:t>
      </w:r>
      <w:r>
        <w:rPr>
          <w:rFonts w:hint="eastAsia" w:ascii="Times New Roman" w:hAnsi="Times New Roman"/>
          <w:iCs/>
          <w:sz w:val="20"/>
          <w:szCs w:val="20"/>
        </w:rPr>
        <w:t xml:space="preserve">since </w:t>
      </w:r>
      <w:r>
        <w:rPr>
          <w:rFonts w:ascii="Times New Roman" w:hAnsi="Times New Roman"/>
          <w:iCs/>
          <w:sz w:val="20"/>
          <w:szCs w:val="20"/>
        </w:rPr>
        <w:t>UE may need to track three TRS resource sets</w:t>
      </w:r>
      <w:r>
        <w:rPr>
          <w:rFonts w:hint="eastAsia" w:ascii="Times New Roman" w:hAnsi="Times New Roman"/>
          <w:iCs/>
          <w:sz w:val="20"/>
          <w:szCs w:val="20"/>
        </w:rPr>
        <w:t>,</w:t>
      </w:r>
      <w:r>
        <w:rPr>
          <w:rFonts w:ascii="Times New Roman" w:hAnsi="Times New Roman"/>
          <w:iCs/>
          <w:sz w:val="20"/>
          <w:szCs w:val="20"/>
        </w:rPr>
        <w:t xml:space="preserve"> i.e. TRS 0, SFNed TRS, and TRS 1 </w:t>
      </w:r>
      <w:r>
        <w:rPr>
          <w:rFonts w:hint="eastAsia" w:ascii="Times New Roman" w:hAnsi="Times New Roman"/>
          <w:iCs/>
          <w:sz w:val="20"/>
          <w:szCs w:val="20"/>
          <w:lang w:val="en-US" w:eastAsia="zh-CN"/>
        </w:rPr>
        <w:t xml:space="preserve">because </w:t>
      </w:r>
      <w:r>
        <w:rPr>
          <w:rFonts w:ascii="Times New Roman" w:hAnsi="Times New Roman"/>
          <w:iCs/>
          <w:sz w:val="20"/>
          <w:szCs w:val="20"/>
        </w:rPr>
        <w:t xml:space="preserve">dynamic switching between </w:t>
      </w:r>
      <w:r>
        <w:rPr>
          <w:rFonts w:hint="eastAsia" w:ascii="Times New Roman" w:hAnsi="Times New Roman"/>
          <w:iCs/>
          <w:sz w:val="20"/>
          <w:szCs w:val="20"/>
        </w:rPr>
        <w:t>single</w:t>
      </w:r>
      <w:r>
        <w:rPr>
          <w:rFonts w:ascii="Times New Roman" w:hAnsi="Times New Roman"/>
          <w:iCs/>
          <w:sz w:val="20"/>
          <w:szCs w:val="20"/>
        </w:rPr>
        <w:t xml:space="preserve"> TRP transmission and Rel-17 network based SFN is supported. </w:t>
      </w:r>
      <w:r>
        <w:rPr>
          <w:rFonts w:hint="eastAsia" w:ascii="Times New Roman" w:hAnsi="Times New Roman"/>
          <w:iCs/>
          <w:sz w:val="20"/>
          <w:szCs w:val="20"/>
        </w:rPr>
        <w:t>However, it also</w:t>
      </w:r>
      <w:r>
        <w:rPr>
          <w:rFonts w:ascii="Times New Roman" w:hAnsi="Times New Roman"/>
          <w:sz w:val="20"/>
          <w:szCs w:val="20"/>
        </w:rPr>
        <w:t xml:space="preserve"> makes UE implementation easier since UE does not need to combine two TRS estimations for large scale parameter </w:t>
      </w:r>
      <w:r>
        <w:rPr>
          <w:rFonts w:ascii="Times New Roman" w:hAnsi="Times New Roman"/>
          <w:iCs/>
          <w:sz w:val="20"/>
          <w:szCs w:val="20"/>
        </w:rPr>
        <w:t>{average delay, delay spread} compared with Variant A.</w:t>
      </w:r>
      <w:r>
        <w:rPr>
          <w:rFonts w:hint="eastAsia" w:ascii="Times New Roman" w:hAnsi="Times New Roman"/>
          <w:iCs/>
          <w:sz w:val="20"/>
          <w:szCs w:val="20"/>
        </w:rPr>
        <w:t xml:space="preserve"> </w:t>
      </w:r>
      <w:r>
        <w:rPr>
          <w:rFonts w:ascii="Times New Roman" w:hAnsi="Times New Roman"/>
          <w:iCs/>
          <w:sz w:val="20"/>
          <w:szCs w:val="20"/>
        </w:rPr>
        <w:t xml:space="preserve">Further, </w:t>
      </w:r>
      <w:r>
        <w:rPr>
          <w:rFonts w:hint="eastAsia" w:ascii="Times New Roman" w:hAnsi="Times New Roman"/>
          <w:iCs/>
          <w:sz w:val="20"/>
          <w:szCs w:val="20"/>
        </w:rPr>
        <w:t xml:space="preserve">the SFNed TRS </w:t>
      </w:r>
      <w:r>
        <w:rPr>
          <w:rFonts w:ascii="Times New Roman" w:hAnsi="Times New Roman"/>
          <w:iCs/>
          <w:sz w:val="20"/>
          <w:szCs w:val="20"/>
        </w:rPr>
        <w:t>is also beneficial in terms of</w:t>
      </w:r>
      <w:r>
        <w:rPr>
          <w:rFonts w:hint="eastAsia" w:ascii="Times New Roman" w:hAnsi="Times New Roman"/>
          <w:iCs/>
          <w:sz w:val="20"/>
          <w:szCs w:val="20"/>
        </w:rPr>
        <w:t xml:space="preserve"> backward compatibility</w:t>
      </w:r>
      <w:r>
        <w:rPr>
          <w:rFonts w:ascii="Times New Roman" w:hAnsi="Times New Roman"/>
          <w:iCs/>
          <w:sz w:val="20"/>
          <w:szCs w:val="20"/>
        </w:rPr>
        <w:t xml:space="preserve"> if SFNed TRS has been implemented in legacy system</w:t>
      </w:r>
      <w:r>
        <w:rPr>
          <w:rFonts w:hint="eastAsia" w:ascii="Times New Roman" w:hAnsi="Times New Roman"/>
          <w:iCs/>
          <w:sz w:val="20"/>
          <w:szCs w:val="2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w:t>
      </w:r>
      <w:r>
        <w:rPr>
          <w:rFonts w:ascii="Times New Roman" w:hAnsi="Times New Roman"/>
          <w:sz w:val="20"/>
          <w:szCs w:val="20"/>
        </w:rPr>
        <w:t>ased on the above analysis</w:t>
      </w:r>
      <w:r>
        <w:rPr>
          <w:rFonts w:hint="eastAsia" w:ascii="Times New Roman" w:hAnsi="Times New Roman"/>
          <w:sz w:val="20"/>
          <w:szCs w:val="20"/>
        </w:rPr>
        <w:t>, we</w:t>
      </w:r>
      <w:r>
        <w:rPr>
          <w:rFonts w:ascii="Times New Roman" w:hAnsi="Times New Roman"/>
          <w:sz w:val="20"/>
          <w:szCs w:val="20"/>
        </w:rPr>
        <w:t xml:space="preserve"> prefer to additionally support Variant B</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i/>
          <w:iCs/>
          <w:sz w:val="20"/>
          <w:szCs w:val="20"/>
        </w:rPr>
      </w:pPr>
      <w:r>
        <w:rPr>
          <w:rFonts w:ascii="Times New Roman" w:hAnsi="Times New Roman"/>
          <w:b/>
          <w:i/>
          <w:sz w:val="20"/>
          <w:szCs w:val="20"/>
        </w:rPr>
        <w:t>Proposal 1:</w:t>
      </w:r>
      <w:r>
        <w:rPr>
          <w:rFonts w:ascii="Times New Roman" w:hAnsi="Times New Roman"/>
          <w:i/>
          <w:sz w:val="20"/>
          <w:szCs w:val="20"/>
        </w:rPr>
        <w:t xml:space="preserve"> </w:t>
      </w:r>
      <w:r>
        <w:rPr>
          <w:rFonts w:hint="eastAsia" w:ascii="Times New Roman" w:hAnsi="Times New Roman"/>
          <w:i/>
          <w:sz w:val="20"/>
          <w:szCs w:val="20"/>
        </w:rPr>
        <w:t>For TRP based pre-compensation, confirm the working assumption of support of Variant A</w:t>
      </w:r>
      <w:r>
        <w:rPr>
          <w:rFonts w:ascii="Times New Roman" w:hAnsi="Times New Roman"/>
          <w:i/>
          <w:sz w:val="20"/>
          <w:szCs w:val="20"/>
        </w:rPr>
        <w:t>,</w:t>
      </w:r>
      <w:r>
        <w:rPr>
          <w:rFonts w:hint="eastAsia" w:ascii="Times New Roman" w:hAnsi="Times New Roman"/>
          <w:i/>
          <w:sz w:val="20"/>
          <w:szCs w:val="20"/>
        </w:rPr>
        <w:t xml:space="preserve"> and additionally </w:t>
      </w:r>
      <w:r>
        <w:rPr>
          <w:rFonts w:ascii="Times New Roman" w:hAnsi="Times New Roman"/>
          <w:i/>
          <w:sz w:val="20"/>
          <w:szCs w:val="20"/>
        </w:rPr>
        <w:t xml:space="preserve">support </w:t>
      </w:r>
      <w:r>
        <w:rPr>
          <w:rFonts w:hint="eastAsia" w:ascii="Times New Roman" w:hAnsi="Times New Roman"/>
          <w:i/>
          <w:sz w:val="20"/>
          <w:szCs w:val="20"/>
        </w:rPr>
        <w:t xml:space="preserve">of </w:t>
      </w:r>
      <w:r>
        <w:rPr>
          <w:rFonts w:ascii="Times New Roman" w:hAnsi="Times New Roman"/>
          <w:i/>
          <w:iCs/>
          <w:sz w:val="20"/>
          <w:szCs w:val="20"/>
        </w:rPr>
        <w:t xml:space="preserve">Variant </w:t>
      </w:r>
      <w:r>
        <w:rPr>
          <w:rFonts w:hint="eastAsia" w:ascii="Times New Roman" w:hAnsi="Times New Roman"/>
          <w:i/>
          <w:iCs/>
          <w:sz w:val="20"/>
          <w:szCs w:val="20"/>
        </w:rPr>
        <w:t>B</w:t>
      </w:r>
      <w:r>
        <w:rPr>
          <w:rFonts w:ascii="Times New Roman" w:hAnsi="Times New Roman"/>
          <w:i/>
          <w:iCs/>
          <w:sz w:val="20"/>
          <w:szCs w:val="20"/>
        </w:rPr>
        <w:t>, i.e. one of the TCI state is associated with {average delay, delay spread} and the other TCI state is associated with {Doppler shift, Doppler spread} (i.e., QCL-Type</w:t>
      </w:r>
      <w:r>
        <w:rPr>
          <w:rFonts w:hint="eastAsia" w:ascii="Times New Roman" w:hAnsi="Times New Roman"/>
          <w:i/>
          <w:iCs/>
          <w:sz w:val="20"/>
          <w:szCs w:val="20"/>
        </w:rPr>
        <w:t>B</w:t>
      </w:r>
      <w:r>
        <w:rPr>
          <w:rFonts w:ascii="Times New Roman" w:hAnsi="Times New Roman"/>
          <w:i/>
          <w:iCs/>
          <w:sz w:val="20"/>
          <w:szCs w:val="2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w:t>
      </w:r>
      <w:r>
        <w:rPr>
          <w:rFonts w:ascii="Times New Roman" w:hAnsi="Times New Roman"/>
          <w:sz w:val="20"/>
          <w:szCs w:val="20"/>
        </w:rPr>
        <w:t>the above A</w:t>
      </w:r>
      <w:r>
        <w:rPr>
          <w:rFonts w:hint="eastAsia" w:ascii="Times New Roman" w:hAnsi="Times New Roman"/>
          <w:sz w:val="20"/>
          <w:szCs w:val="20"/>
        </w:rPr>
        <w:t>greement#2, the existing QCL type can be used for network based SFN, if Variant A is supported, two QCL type A are configured for these two TCI states, and the QCL parameters of</w:t>
      </w:r>
      <w:r>
        <w:rPr>
          <w:rFonts w:ascii="Times New Roman" w:hAnsi="Times New Roman"/>
          <w:sz w:val="20"/>
          <w:szCs w:val="20"/>
        </w:rPr>
        <w:t xml:space="preserve"> </w:t>
      </w:r>
      <w:r>
        <w:rPr>
          <w:rFonts w:ascii="Times New Roman" w:hAnsi="Times New Roman"/>
          <w:iCs/>
          <w:sz w:val="20"/>
          <w:szCs w:val="20"/>
        </w:rPr>
        <w:t>{Doppler shift, Doppler spread}</w:t>
      </w:r>
      <w:r>
        <w:rPr>
          <w:rFonts w:hint="eastAsia" w:ascii="Times New Roman" w:hAnsi="Times New Roman"/>
          <w:sz w:val="20"/>
          <w:szCs w:val="20"/>
        </w:rPr>
        <w:t xml:space="preserve"> should be dropped</w:t>
      </w:r>
      <w:r>
        <w:rPr>
          <w:rFonts w:ascii="Times New Roman" w:hAnsi="Times New Roman"/>
          <w:sz w:val="20"/>
          <w:szCs w:val="20"/>
        </w:rPr>
        <w:t>/ignored</w:t>
      </w:r>
      <w:r>
        <w:rPr>
          <w:rFonts w:hint="eastAsia" w:ascii="Times New Roman" w:hAnsi="Times New Roman"/>
          <w:sz w:val="20"/>
          <w:szCs w:val="20"/>
        </w:rPr>
        <w:t xml:space="preserve"> from one</w:t>
      </w:r>
      <w:r>
        <w:rPr>
          <w:rFonts w:ascii="Times New Roman" w:hAnsi="Times New Roman"/>
          <w:sz w:val="20"/>
          <w:szCs w:val="20"/>
        </w:rPr>
        <w:t xml:space="preserve"> of TCI state</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sz w:val="20"/>
          <w:szCs w:val="20"/>
        </w:rPr>
        <w:t>In</w:t>
      </w:r>
      <w:r>
        <w:rPr>
          <w:rFonts w:ascii="Times New Roman" w:hAnsi="Times New Roman"/>
          <w:sz w:val="20"/>
          <w:szCs w:val="20"/>
        </w:rPr>
        <w:t xml:space="preserve"> addition,</w:t>
      </w:r>
      <w:r>
        <w:rPr>
          <w:rFonts w:hint="eastAsia" w:ascii="Times New Roman" w:hAnsi="Times New Roman"/>
          <w:sz w:val="20"/>
          <w:szCs w:val="20"/>
        </w:rPr>
        <w:t xml:space="preserve"> </w:t>
      </w:r>
      <w:r>
        <w:rPr>
          <w:rFonts w:ascii="Times New Roman" w:hAnsi="Times New Roman"/>
          <w:sz w:val="20"/>
          <w:szCs w:val="20"/>
        </w:rPr>
        <w:t>b</w:t>
      </w:r>
      <w:r>
        <w:rPr>
          <w:rFonts w:hint="eastAsia" w:ascii="Times New Roman" w:hAnsi="Times New Roman"/>
          <w:sz w:val="20"/>
          <w:szCs w:val="20"/>
        </w:rPr>
        <w:t xml:space="preserve">ecause of high UE speed and mostly LoS link propagation, PDSCH transmission rank is usually limited, e.g. up to rank 2. It is natural to restrict all allocated DMRS ports within one CDM group for SFN </w:t>
      </w:r>
      <w:r>
        <w:rPr>
          <w:rFonts w:ascii="Times New Roman" w:hAnsi="Times New Roman"/>
          <w:sz w:val="20"/>
          <w:szCs w:val="20"/>
        </w:rPr>
        <w:t>based</w:t>
      </w:r>
      <w:r>
        <w:rPr>
          <w:rFonts w:hint="eastAsia" w:ascii="Times New Roman" w:hAnsi="Times New Roman"/>
          <w:sz w:val="20"/>
          <w:szCs w:val="20"/>
        </w:rPr>
        <w:t xml:space="preserve"> PDSCH transmission.</w:t>
      </w:r>
      <w:r>
        <w:rPr>
          <w:rFonts w:ascii="Times New Roman" w:hAnsi="Times New Roman"/>
          <w:sz w:val="20"/>
          <w:szCs w:val="20"/>
        </w:rPr>
        <w:t xml:space="preserve"> Further, c</w:t>
      </w:r>
      <w:r>
        <w:rPr>
          <w:rFonts w:hint="eastAsia" w:ascii="Times New Roman" w:hAnsi="Times New Roman"/>
          <w:sz w:val="20"/>
          <w:szCs w:val="20"/>
        </w:rPr>
        <w:t xml:space="preserve">onsidering the DMRS ports are dynamic indicated by DCI signaling, so which one of the TCI would </w:t>
      </w:r>
      <w:r>
        <w:rPr>
          <w:rFonts w:ascii="Times New Roman" w:hAnsi="Times New Roman"/>
          <w:sz w:val="20"/>
          <w:szCs w:val="20"/>
        </w:rPr>
        <w:t xml:space="preserve">be assumed with </w:t>
      </w:r>
      <w:r>
        <w:rPr>
          <w:rFonts w:hint="eastAsia" w:ascii="Times New Roman" w:hAnsi="Times New Roman"/>
          <w:sz w:val="20"/>
          <w:szCs w:val="20"/>
        </w:rPr>
        <w:t>drop</w:t>
      </w:r>
      <w:r>
        <w:rPr>
          <w:rFonts w:ascii="Times New Roman" w:hAnsi="Times New Roman"/>
          <w:sz w:val="20"/>
          <w:szCs w:val="20"/>
        </w:rPr>
        <w:t xml:space="preserve">ping of </w:t>
      </w:r>
      <w:r>
        <w:rPr>
          <w:rFonts w:ascii="Times New Roman" w:hAnsi="Times New Roman"/>
          <w:iCs/>
          <w:sz w:val="20"/>
          <w:szCs w:val="20"/>
        </w:rPr>
        <w:t xml:space="preserve">{Doppler shift, Doppler spread} </w:t>
      </w:r>
      <w:r>
        <w:rPr>
          <w:rFonts w:hint="eastAsia" w:ascii="Times New Roman" w:hAnsi="Times New Roman"/>
          <w:sz w:val="20"/>
          <w:szCs w:val="20"/>
        </w:rPr>
        <w:t>can be dynamic</w:t>
      </w:r>
      <w:r>
        <w:rPr>
          <w:rFonts w:ascii="Times New Roman" w:hAnsi="Times New Roman"/>
          <w:sz w:val="20"/>
          <w:szCs w:val="20"/>
        </w:rPr>
        <w:t>ally</w:t>
      </w:r>
      <w:r>
        <w:rPr>
          <w:rFonts w:hint="eastAsia" w:ascii="Times New Roman" w:hAnsi="Times New Roman"/>
          <w:sz w:val="20"/>
          <w:szCs w:val="20"/>
        </w:rPr>
        <w:t xml:space="preserve"> indicated</w:t>
      </w:r>
      <w:r>
        <w:rPr>
          <w:rFonts w:hint="eastAsia" w:ascii="Times New Roman" w:hAnsi="Times New Roman"/>
          <w:iCs/>
          <w:sz w:val="20"/>
          <w:szCs w:val="20"/>
        </w:rPr>
        <w:t>.</w:t>
      </w:r>
      <w:r>
        <w:rPr>
          <w:rFonts w:hint="eastAsia" w:ascii="Times New Roman" w:hAnsi="Times New Roman"/>
          <w:sz w:val="20"/>
          <w:szCs w:val="20"/>
        </w:rPr>
        <w:t xml:space="preserve"> In </w:t>
      </w:r>
      <w:r>
        <w:rPr>
          <w:rFonts w:ascii="Times New Roman" w:hAnsi="Times New Roman"/>
          <w:sz w:val="20"/>
          <w:szCs w:val="20"/>
        </w:rPr>
        <w:t xml:space="preserve">the </w:t>
      </w:r>
      <w:r>
        <w:rPr>
          <w:rFonts w:hint="eastAsia" w:ascii="Times New Roman" w:hAnsi="Times New Roman"/>
          <w:sz w:val="20"/>
          <w:szCs w:val="20"/>
        </w:rPr>
        <w:t>current spec</w:t>
      </w:r>
      <w:r>
        <w:rPr>
          <w:rFonts w:ascii="Times New Roman" w:hAnsi="Times New Roman"/>
          <w:sz w:val="20"/>
          <w:szCs w:val="20"/>
        </w:rPr>
        <w:t>ification</w:t>
      </w:r>
      <w:r>
        <w:rPr>
          <w:rFonts w:hint="eastAsia" w:ascii="Times New Roman" w:hAnsi="Times New Roman"/>
          <w:sz w:val="20"/>
          <w:szCs w:val="20"/>
        </w:rPr>
        <w:t xml:space="preserve">, up to two DMRS CDM groups are supported, so if </w:t>
      </w:r>
      <w:r>
        <w:rPr>
          <w:rFonts w:ascii="Times New Roman" w:hAnsi="Times New Roman"/>
          <w:sz w:val="20"/>
          <w:szCs w:val="20"/>
        </w:rPr>
        <w:t xml:space="preserve">only </w:t>
      </w:r>
      <w:r>
        <w:rPr>
          <w:rFonts w:hint="eastAsia" w:ascii="Times New Roman" w:hAnsi="Times New Roman"/>
          <w:sz w:val="20"/>
          <w:szCs w:val="20"/>
        </w:rPr>
        <w:t xml:space="preserve">one CDM group is </w:t>
      </w:r>
      <w:r>
        <w:rPr>
          <w:rFonts w:ascii="Times New Roman" w:hAnsi="Times New Roman"/>
          <w:sz w:val="20"/>
          <w:szCs w:val="20"/>
        </w:rPr>
        <w:t>used</w:t>
      </w:r>
      <w:r>
        <w:rPr>
          <w:rFonts w:hint="eastAsia" w:ascii="Times New Roman" w:hAnsi="Times New Roman"/>
          <w:sz w:val="20"/>
          <w:szCs w:val="20"/>
        </w:rPr>
        <w:t xml:space="preserve"> </w:t>
      </w:r>
      <w:r>
        <w:rPr>
          <w:rFonts w:ascii="Times New Roman" w:hAnsi="Times New Roman"/>
          <w:sz w:val="20"/>
          <w:szCs w:val="20"/>
        </w:rPr>
        <w:t>for</w:t>
      </w:r>
      <w:r>
        <w:rPr>
          <w:rFonts w:hint="eastAsia" w:ascii="Times New Roman" w:hAnsi="Times New Roman"/>
          <w:sz w:val="20"/>
          <w:szCs w:val="20"/>
        </w:rPr>
        <w:t xml:space="preserve"> SFN</w:t>
      </w:r>
      <w:r>
        <w:rPr>
          <w:rFonts w:ascii="Times New Roman" w:hAnsi="Times New Roman"/>
          <w:sz w:val="20"/>
          <w:szCs w:val="20"/>
        </w:rPr>
        <w:t>ed PDSCH</w:t>
      </w:r>
      <w:r>
        <w:rPr>
          <w:rFonts w:hint="eastAsia" w:ascii="Times New Roman" w:hAnsi="Times New Roman"/>
          <w:sz w:val="20"/>
          <w:szCs w:val="20"/>
        </w:rPr>
        <w:t xml:space="preserve">, the DMRS CDM group index can be used to indicate which one of the TCI states contains the </w:t>
      </w:r>
      <w:r>
        <w:rPr>
          <w:rFonts w:ascii="Times New Roman" w:hAnsi="Times New Roman"/>
          <w:sz w:val="20"/>
          <w:szCs w:val="20"/>
        </w:rPr>
        <w:t>TCI state</w:t>
      </w:r>
      <w:r>
        <w:rPr>
          <w:rFonts w:hint="eastAsia" w:ascii="Times New Roman" w:hAnsi="Times New Roman"/>
          <w:sz w:val="20"/>
          <w:szCs w:val="20"/>
        </w:rPr>
        <w:t xml:space="preserve"> with {Doppler shift, Doppler spread} dropped. For example, if the DMRS ports are indicated as CDM group 0, the QCL parameters {Doppler shift, Doppler spread}</w:t>
      </w:r>
      <w:r>
        <w:rPr>
          <w:rFonts w:ascii="Times New Roman" w:hAnsi="Times New Roman"/>
          <w:sz w:val="20"/>
          <w:szCs w:val="20"/>
        </w:rPr>
        <w:t xml:space="preserve"> </w:t>
      </w:r>
      <w:r>
        <w:rPr>
          <w:rFonts w:hint="eastAsia" w:ascii="Times New Roman" w:hAnsi="Times New Roman"/>
          <w:sz w:val="20"/>
          <w:szCs w:val="20"/>
        </w:rPr>
        <w:t>in the first TCI state</w:t>
      </w:r>
      <w:r>
        <w:rPr>
          <w:rFonts w:ascii="Times New Roman" w:hAnsi="Times New Roman"/>
          <w:sz w:val="20"/>
          <w:szCs w:val="20"/>
        </w:rPr>
        <w:t xml:space="preserve"> (configured with QCL type A)</w:t>
      </w:r>
      <w:r>
        <w:rPr>
          <w:rFonts w:hint="eastAsia" w:ascii="Times New Roman" w:hAnsi="Times New Roman"/>
          <w:sz w:val="20"/>
          <w:szCs w:val="20"/>
        </w:rPr>
        <w:t xml:space="preserve"> should be dropped</w:t>
      </w:r>
      <w:r>
        <w:rPr>
          <w:rFonts w:ascii="Times New Roman" w:hAnsi="Times New Roman"/>
          <w:sz w:val="20"/>
          <w:szCs w:val="20"/>
        </w:rPr>
        <w:t>/ignored</w:t>
      </w:r>
      <w:r>
        <w:rPr>
          <w:rFonts w:hint="eastAsia" w:ascii="Times New Roman" w:hAnsi="Times New Roman"/>
          <w:sz w:val="20"/>
          <w:szCs w:val="20"/>
        </w:rPr>
        <w:t xml:space="preserve">, and if the DMRS ports are indicated as CDM group </w:t>
      </w:r>
      <w:r>
        <w:rPr>
          <w:rFonts w:ascii="Times New Roman" w:hAnsi="Times New Roman"/>
          <w:sz w:val="20"/>
          <w:szCs w:val="20"/>
        </w:rPr>
        <w:t>1</w:t>
      </w:r>
      <w:r>
        <w:rPr>
          <w:rFonts w:hint="eastAsia" w:ascii="Times New Roman" w:hAnsi="Times New Roman"/>
          <w:sz w:val="20"/>
          <w:szCs w:val="20"/>
        </w:rPr>
        <w:t>, the QCL parameters {Doppler shift, Doppler spread}</w:t>
      </w:r>
      <w:r>
        <w:rPr>
          <w:rFonts w:ascii="Times New Roman" w:hAnsi="Times New Roman"/>
          <w:sz w:val="20"/>
          <w:szCs w:val="20"/>
        </w:rPr>
        <w:t xml:space="preserve"> </w:t>
      </w:r>
      <w:r>
        <w:rPr>
          <w:rFonts w:hint="eastAsia" w:ascii="Times New Roman" w:hAnsi="Times New Roman"/>
          <w:sz w:val="20"/>
          <w:szCs w:val="20"/>
        </w:rPr>
        <w:t xml:space="preserve">in the </w:t>
      </w:r>
      <w:r>
        <w:rPr>
          <w:rFonts w:ascii="Times New Roman" w:hAnsi="Times New Roman"/>
          <w:sz w:val="20"/>
          <w:szCs w:val="20"/>
        </w:rPr>
        <w:t>second</w:t>
      </w:r>
      <w:r>
        <w:rPr>
          <w:rFonts w:hint="eastAsia" w:ascii="Times New Roman" w:hAnsi="Times New Roman"/>
          <w:sz w:val="20"/>
          <w:szCs w:val="20"/>
        </w:rPr>
        <w:t xml:space="preserve"> TCI state should be dropped</w:t>
      </w:r>
      <w:r>
        <w:rPr>
          <w:rFonts w:ascii="Times New Roman" w:hAnsi="Times New Roman"/>
          <w:sz w:val="20"/>
          <w:szCs w:val="20"/>
        </w:rPr>
        <w:t>/ignored</w:t>
      </w:r>
      <w:r>
        <w:rPr>
          <w:rFonts w:hint="eastAsia" w:ascii="Times New Roman" w:hAnsi="Times New Roman"/>
          <w:sz w:val="20"/>
          <w:szCs w:val="20"/>
        </w:rPr>
        <w:t>.</w:t>
      </w:r>
      <w:r>
        <w:rPr>
          <w:rFonts w:ascii="Times New Roman" w:hAnsi="Times New Roman"/>
          <w:sz w:val="20"/>
          <w:szCs w:val="20"/>
        </w:rPr>
        <w:t xml:space="preserve"> This solution may have some limitation in the case of MU scheduling. For example, gNB cannot co-schedule two UEs in two different CDM groups if both UEs need to drop </w:t>
      </w:r>
      <w:r>
        <w:rPr>
          <w:rFonts w:hint="eastAsia" w:ascii="Times New Roman" w:hAnsi="Times New Roman"/>
          <w:sz w:val="20"/>
          <w:szCs w:val="20"/>
        </w:rPr>
        <w:t>{Doppler shift, Doppler spread}</w:t>
      </w:r>
      <w:r>
        <w:rPr>
          <w:rFonts w:ascii="Times New Roman" w:hAnsi="Times New Roman"/>
          <w:sz w:val="20"/>
          <w:szCs w:val="20"/>
        </w:rPr>
        <w:t xml:space="preserve"> in the first TCI. However, gNB can still co-schedule these two UE in a same CDM group. As for HST scenario, the possibility of having a large MU capacity is extremely low, this limitation barely impacts gNB scheduling flexibility or performance.</w:t>
      </w:r>
    </w:p>
    <w:p>
      <w:pPr>
        <w:snapToGrid w:val="0"/>
        <w:spacing w:before="0" w:beforeLines="-2147483648" w:after="0" w:afterLines="-2147483648" w:line="240" w:lineRule="auto"/>
        <w:jc w:val="both"/>
        <w:rPr>
          <w:rFonts w:ascii="Times New Roman" w:hAnsi="Times New Roman"/>
          <w:bCs/>
          <w:i/>
          <w:sz w:val="20"/>
          <w:szCs w:val="20"/>
        </w:rPr>
      </w:pPr>
      <w:r>
        <w:rPr>
          <w:rFonts w:ascii="Times New Roman" w:hAnsi="Times New Roman"/>
          <w:b/>
          <w:i/>
          <w:sz w:val="20"/>
          <w:szCs w:val="20"/>
        </w:rPr>
        <w:t xml:space="preserve">Proposal </w:t>
      </w:r>
      <w:r>
        <w:rPr>
          <w:rFonts w:hint="eastAsia" w:ascii="Times New Roman" w:hAnsi="Times New Roman"/>
          <w:b/>
          <w:i/>
          <w:sz w:val="20"/>
          <w:szCs w:val="20"/>
        </w:rPr>
        <w:t>2</w:t>
      </w:r>
      <w:r>
        <w:rPr>
          <w:rFonts w:ascii="Times New Roman" w:hAnsi="Times New Roman"/>
          <w:b/>
          <w:i/>
          <w:sz w:val="20"/>
          <w:szCs w:val="20"/>
        </w:rPr>
        <w:t>:</w:t>
      </w:r>
      <w:r>
        <w:rPr>
          <w:rFonts w:hint="eastAsia" w:ascii="Times New Roman" w:hAnsi="Times New Roman"/>
          <w:b/>
          <w:i/>
          <w:sz w:val="20"/>
          <w:szCs w:val="20"/>
        </w:rPr>
        <w:t xml:space="preserve"> </w:t>
      </w:r>
      <w:r>
        <w:rPr>
          <w:rFonts w:hint="eastAsia" w:ascii="Times New Roman" w:hAnsi="Times New Roman"/>
          <w:bCs/>
          <w:i/>
          <w:sz w:val="20"/>
          <w:szCs w:val="20"/>
        </w:rPr>
        <w:t>For TRP based pre-compensation, DMRS CDM group index can be used to indicate which TCI state contains the dropped</w:t>
      </w:r>
      <w:r>
        <w:rPr>
          <w:rFonts w:ascii="Times New Roman" w:hAnsi="Times New Roman"/>
          <w:bCs/>
          <w:i/>
          <w:sz w:val="20"/>
          <w:szCs w:val="20"/>
        </w:rPr>
        <w:t>/ignored</w:t>
      </w:r>
      <w:r>
        <w:rPr>
          <w:rFonts w:hint="eastAsia" w:ascii="Times New Roman" w:hAnsi="Times New Roman"/>
          <w:bCs/>
          <w:i/>
          <w:sz w:val="20"/>
          <w:szCs w:val="20"/>
        </w:rPr>
        <w:t xml:space="preserve"> QCL parameters.</w:t>
      </w:r>
    </w:p>
    <w:p>
      <w:pPr>
        <w:pStyle w:val="99"/>
        <w:numPr>
          <w:ilvl w:val="0"/>
          <w:numId w:val="8"/>
        </w:numPr>
        <w:snapToGrid w:val="0"/>
        <w:spacing w:before="0" w:beforeLines="-2147483648" w:after="0" w:afterLines="-2147483648" w:line="240" w:lineRule="auto"/>
        <w:ind w:left="840" w:hanging="420" w:firstLineChars="0"/>
        <w:jc w:val="both"/>
        <w:rPr>
          <w:rFonts w:ascii="Times New Roman" w:hAnsi="Times New Roman"/>
          <w:i/>
          <w:iCs/>
          <w:sz w:val="20"/>
          <w:szCs w:val="20"/>
        </w:rPr>
      </w:pPr>
      <w:r>
        <w:rPr>
          <w:rFonts w:ascii="Times New Roman" w:hAnsi="Times New Roman"/>
          <w:i/>
          <w:iCs/>
          <w:sz w:val="20"/>
          <w:szCs w:val="20"/>
        </w:rPr>
        <w:t>SFNed PDSCH DMRS ports are restricted within one CDM group</w:t>
      </w:r>
    </w:p>
    <w:p>
      <w:pPr>
        <w:pStyle w:val="4"/>
        <w:snapToGrid w:val="0"/>
        <w:spacing w:before="180" w:beforeLines="50" w:after="180" w:afterLines="50" w:line="240" w:lineRule="auto"/>
        <w:rPr>
          <w:rFonts w:ascii="Times New Roman" w:hAnsi="Times New Roman"/>
          <w:sz w:val="24"/>
          <w:szCs w:val="24"/>
          <w:lang w:val="en-US"/>
        </w:rPr>
      </w:pPr>
      <w:r>
        <w:rPr>
          <w:rFonts w:ascii="Times New Roman" w:hAnsi="Times New Roman"/>
          <w:sz w:val="24"/>
          <w:szCs w:val="24"/>
          <w:lang w:val="en-US"/>
        </w:rPr>
        <w:t xml:space="preserve">Frequency offset </w:t>
      </w:r>
      <w:r>
        <w:rPr>
          <w:rFonts w:hint="eastAsia" w:ascii="Times New Roman" w:hAnsi="Times New Roman"/>
          <w:sz w:val="24"/>
          <w:szCs w:val="24"/>
          <w:lang w:val="en-US"/>
        </w:rPr>
        <w:t>acquisition</w:t>
      </w:r>
      <w:r>
        <w:rPr>
          <w:rFonts w:ascii="Times New Roman" w:hAnsi="Times New Roman"/>
          <w:sz w:val="24"/>
          <w:szCs w:val="24"/>
          <w:lang w:val="en-US"/>
        </w:rPr>
        <w:t xml:space="preserve"> for network based SFN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For network based SFN, gNB has to know the frequency offsets between TRPs before implementing frequency pre-compensation. There are two ways discussed in RAN1#104bis-e meeting as shown in the following agreement.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b/>
                <w:bCs/>
                <w:i/>
                <w:iCs/>
                <w:sz w:val="20"/>
                <w:szCs w:val="20"/>
                <w:u w:val="single"/>
              </w:rPr>
            </w:pPr>
            <w:r>
              <w:rPr>
                <w:rFonts w:ascii="Times New Roman" w:hAnsi="Times New Roman"/>
                <w:b/>
                <w:bCs/>
                <w:i/>
                <w:iCs/>
                <w:sz w:val="20"/>
                <w:szCs w:val="20"/>
                <w:u w:val="single"/>
              </w:rPr>
              <w:t>Agreement</w:t>
            </w:r>
            <w:r>
              <w:rPr>
                <w:rFonts w:hint="eastAsia" w:ascii="Times New Roman" w:hAnsi="Times New Roman"/>
                <w:b/>
                <w:bCs/>
                <w:i/>
                <w:iCs/>
                <w:sz w:val="20"/>
                <w:szCs w:val="20"/>
                <w:u w:val="single"/>
              </w:rPr>
              <w:t>#</w:t>
            </w:r>
            <w:r>
              <w:rPr>
                <w:rFonts w:ascii="Times New Roman" w:hAnsi="Times New Roman"/>
                <w:b/>
                <w:bCs/>
                <w:i/>
                <w:iCs/>
                <w:sz w:val="20"/>
                <w:szCs w:val="20"/>
                <w:u w:val="single"/>
              </w:rPr>
              <w:t>3</w:t>
            </w:r>
            <w:r>
              <w:rPr>
                <w:rFonts w:hint="eastAsia" w:ascii="Times New Roman" w:hAnsi="Times New Roman"/>
                <w:b/>
                <w:bCs/>
                <w:i/>
                <w:iCs/>
                <w:sz w:val="20"/>
                <w:szCs w:val="20"/>
                <w:u w:val="single"/>
              </w:rPr>
              <w:t>:</w:t>
            </w:r>
          </w:p>
          <w:p>
            <w:pPr>
              <w:pStyle w:val="99"/>
              <w:snapToGrid w:val="0"/>
              <w:spacing w:after="0" w:line="240" w:lineRule="auto"/>
              <w:ind w:firstLine="0" w:firstLineChars="0"/>
              <w:contextualSpacing/>
              <w:rPr>
                <w:rFonts w:ascii="Times New Roman" w:hAnsi="Times New Roman" w:eastAsia="Malgun Gothic"/>
                <w:i/>
                <w:iCs/>
                <w:sz w:val="20"/>
                <w:szCs w:val="20"/>
              </w:rPr>
            </w:pPr>
            <w:r>
              <w:rPr>
                <w:rFonts w:ascii="Times New Roman" w:hAnsi="Times New Roman" w:eastAsia="Malgun Gothic"/>
                <w:i/>
                <w:iCs/>
                <w:sz w:val="20"/>
                <w:szCs w:val="20"/>
              </w:rPr>
              <w:t>Specification-based TRP Doppler pre-compensation scheme is supported in Rel-17 for FR1 with one or both:</w:t>
            </w:r>
          </w:p>
          <w:p>
            <w:pPr>
              <w:pStyle w:val="98"/>
              <w:numPr>
                <w:ilvl w:val="0"/>
                <w:numId w:val="9"/>
              </w:numPr>
              <w:snapToGrid w:val="0"/>
              <w:spacing w:after="0" w:line="240" w:lineRule="auto"/>
              <w:jc w:val="both"/>
              <w:rPr>
                <w:rFonts w:ascii="Times New Roman" w:hAnsi="Times New Roman" w:cs="Times New Roman"/>
                <w:i/>
                <w:iCs/>
                <w:sz w:val="20"/>
                <w:szCs w:val="20"/>
              </w:rPr>
            </w:pPr>
            <w:r>
              <w:rPr>
                <w:rFonts w:ascii="Times New Roman" w:hAnsi="Times New Roman" w:cs="Times New Roman"/>
                <w:i/>
                <w:iCs/>
                <w:sz w:val="20"/>
                <w:szCs w:val="20"/>
              </w:rPr>
              <w:t>UL RS based Doppler estimation by gNB</w:t>
            </w:r>
          </w:p>
          <w:p>
            <w:pPr>
              <w:numPr>
                <w:ilvl w:val="1"/>
                <w:numId w:val="5"/>
              </w:numPr>
              <w:snapToGrid w:val="0"/>
              <w:spacing w:after="0" w:line="240" w:lineRule="auto"/>
              <w:rPr>
                <w:rFonts w:ascii="Times New Roman" w:hAnsi="Times New Roman"/>
                <w:i/>
                <w:iCs/>
                <w:sz w:val="20"/>
                <w:szCs w:val="20"/>
              </w:rPr>
            </w:pPr>
            <w:r>
              <w:rPr>
                <w:rFonts w:ascii="Times New Roman" w:hAnsi="Times New Roman"/>
                <w:i/>
                <w:iCs/>
                <w:sz w:val="20"/>
                <w:szCs w:val="20"/>
              </w:rPr>
              <w:t xml:space="preserve">FFS: Details including UL RS enhancement </w:t>
            </w:r>
          </w:p>
          <w:p>
            <w:pPr>
              <w:pStyle w:val="98"/>
              <w:numPr>
                <w:ilvl w:val="0"/>
                <w:numId w:val="9"/>
              </w:numPr>
              <w:snapToGrid w:val="0"/>
              <w:spacing w:after="0" w:line="240" w:lineRule="auto"/>
              <w:jc w:val="both"/>
              <w:rPr>
                <w:rFonts w:ascii="Times New Roman" w:hAnsi="Times New Roman" w:cs="Times New Roman"/>
                <w:i/>
                <w:iCs/>
                <w:sz w:val="20"/>
                <w:szCs w:val="20"/>
              </w:rPr>
            </w:pPr>
            <w:r>
              <w:rPr>
                <w:rFonts w:ascii="Times New Roman" w:hAnsi="Times New Roman" w:cs="Times New Roman"/>
                <w:i/>
                <w:iCs/>
                <w:sz w:val="20"/>
                <w:szCs w:val="20"/>
              </w:rPr>
              <w:t>DL RS based Doppler feedback by UE</w:t>
            </w:r>
          </w:p>
          <w:p>
            <w:pPr>
              <w:numPr>
                <w:ilvl w:val="1"/>
                <w:numId w:val="5"/>
              </w:numPr>
              <w:snapToGrid w:val="0"/>
              <w:spacing w:after="0" w:line="240" w:lineRule="auto"/>
              <w:rPr>
                <w:rFonts w:ascii="Times New Roman" w:hAnsi="Times New Roman"/>
                <w:i/>
                <w:iCs/>
                <w:sz w:val="20"/>
                <w:szCs w:val="20"/>
              </w:rPr>
            </w:pPr>
            <w:r>
              <w:rPr>
                <w:rFonts w:ascii="Times New Roman" w:hAnsi="Times New Roman"/>
                <w:i/>
                <w:iCs/>
                <w:sz w:val="20"/>
                <w:szCs w:val="20"/>
              </w:rPr>
              <w:t>FFS: Details</w:t>
            </w:r>
          </w:p>
          <w:p>
            <w:pPr>
              <w:numPr>
                <w:ilvl w:val="1"/>
                <w:numId w:val="5"/>
              </w:numPr>
              <w:snapToGrid w:val="0"/>
              <w:spacing w:after="0" w:line="240" w:lineRule="auto"/>
              <w:rPr>
                <w:rFonts w:ascii="Times New Roman" w:hAnsi="Times New Roman"/>
                <w:i/>
                <w:iCs/>
                <w:sz w:val="20"/>
                <w:szCs w:val="20"/>
              </w:rPr>
            </w:pPr>
            <w:r>
              <w:rPr>
                <w:rFonts w:ascii="Times New Roman" w:hAnsi="Times New Roman"/>
                <w:i/>
                <w:iCs/>
                <w:sz w:val="20"/>
                <w:szCs w:val="20"/>
              </w:rPr>
              <w:t>FFS: Whether UE capability needs to be introduced</w:t>
            </w:r>
          </w:p>
          <w:p>
            <w:pPr>
              <w:pStyle w:val="98"/>
              <w:numPr>
                <w:ilvl w:val="0"/>
                <w:numId w:val="9"/>
              </w:numPr>
              <w:snapToGrid w:val="0"/>
              <w:spacing w:after="0" w:line="240" w:lineRule="auto"/>
              <w:jc w:val="both"/>
            </w:pPr>
            <w:r>
              <w:rPr>
                <w:rFonts w:ascii="Times New Roman" w:hAnsi="Times New Roman" w:cs="Times New Roman"/>
                <w:i/>
                <w:iCs/>
                <w:sz w:val="20"/>
                <w:szCs w:val="20"/>
              </w:rPr>
              <w:t>Whether to support one or both will be decided later</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 xml:space="preserve">n the first way, gNB can estimate frequency offsets between TRPs based UL signal, e.g. SRS, PUSCH DMRS etc. This solution can be supported without specification change. Hence it should be supported as baseline for further enhancement. However, the estimation accuracy may be reduced because of UL power limitation, the restriction of SRS pattern and the bandwidth of PUSCH DMRS, and different frequency ranges of DL and UL for FDD.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the second way, </w:t>
      </w:r>
      <w:r>
        <w:rPr>
          <w:rFonts w:hint="eastAsia" w:ascii="Times New Roman" w:hAnsi="Times New Roman"/>
          <w:sz w:val="20"/>
          <w:szCs w:val="20"/>
        </w:rPr>
        <w:t>UE can estimate the Doppler</w:t>
      </w:r>
      <w:r>
        <w:rPr>
          <w:rFonts w:ascii="Times New Roman" w:hAnsi="Times New Roman"/>
          <w:sz w:val="20"/>
          <w:szCs w:val="20"/>
        </w:rPr>
        <w:t xml:space="preserve"> shift/frequency offsets</w:t>
      </w:r>
      <w:r>
        <w:rPr>
          <w:rFonts w:hint="eastAsia" w:ascii="Times New Roman" w:hAnsi="Times New Roman"/>
          <w:sz w:val="20"/>
          <w:szCs w:val="20"/>
        </w:rPr>
        <w:t xml:space="preserve"> based on the two TRS resource sets, </w:t>
      </w:r>
      <w:r>
        <w:rPr>
          <w:rFonts w:ascii="Times New Roman" w:hAnsi="Times New Roman"/>
          <w:sz w:val="20"/>
          <w:szCs w:val="20"/>
        </w:rPr>
        <w:t xml:space="preserve">then </w:t>
      </w:r>
      <w:r>
        <w:rPr>
          <w:rFonts w:hint="eastAsia" w:ascii="Times New Roman" w:hAnsi="Times New Roman"/>
          <w:sz w:val="20"/>
          <w:szCs w:val="20"/>
        </w:rPr>
        <w:t>UE report</w:t>
      </w:r>
      <w:r>
        <w:rPr>
          <w:rFonts w:ascii="Times New Roman" w:hAnsi="Times New Roman"/>
          <w:sz w:val="20"/>
          <w:szCs w:val="20"/>
        </w:rPr>
        <w:t>s</w:t>
      </w:r>
      <w:r>
        <w:rPr>
          <w:rFonts w:hint="eastAsia" w:ascii="Times New Roman" w:hAnsi="Times New Roman"/>
          <w:sz w:val="20"/>
          <w:szCs w:val="20"/>
        </w:rPr>
        <w:t xml:space="preserve"> the </w:t>
      </w:r>
      <w:r>
        <w:rPr>
          <w:rFonts w:ascii="Times New Roman" w:hAnsi="Times New Roman"/>
          <w:sz w:val="20"/>
          <w:szCs w:val="20"/>
        </w:rPr>
        <w:t>estimated results</w:t>
      </w:r>
      <w:r>
        <w:rPr>
          <w:rFonts w:hint="eastAsia" w:ascii="Times New Roman" w:hAnsi="Times New Roman"/>
          <w:sz w:val="20"/>
          <w:szCs w:val="20"/>
        </w:rPr>
        <w:t xml:space="preserve"> to gNB for pre-compensation. </w:t>
      </w:r>
      <w:r>
        <w:rPr>
          <w:rFonts w:ascii="Times New Roman" w:hAnsi="Times New Roman"/>
          <w:sz w:val="20"/>
          <w:szCs w:val="20"/>
        </w:rPr>
        <w:t xml:space="preserve">More accurate estimation can be achieved by this solution because of the good TRS pattern, power and bandwidth. However, it may need more specification effort. </w:t>
      </w:r>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 xml:space="preserve">In our view, if the second way is supported, the current CSI reporting mechanism should be reused as much as possible to minimize the specification effort. </w:t>
      </w:r>
      <w:r>
        <w:rPr>
          <w:rFonts w:hint="eastAsia" w:ascii="Times New Roman" w:hAnsi="Times New Roman"/>
          <w:iCs/>
          <w:sz w:val="20"/>
          <w:szCs w:val="20"/>
        </w:rPr>
        <w:t xml:space="preserve">For pre-compensation at TRP side, the Doppler shift/frequency offset can be configured as the </w:t>
      </w:r>
      <w:r>
        <w:rPr>
          <w:rFonts w:ascii="Times New Roman" w:hAnsi="Times New Roman"/>
          <w:i/>
          <w:iCs w:val="0"/>
          <w:sz w:val="20"/>
          <w:szCs w:val="20"/>
        </w:rPr>
        <w:t>reportQuantity</w:t>
      </w:r>
      <w:r>
        <w:rPr>
          <w:rFonts w:hint="eastAsia" w:ascii="Times New Roman" w:hAnsi="Times New Roman"/>
          <w:i/>
          <w:sz w:val="20"/>
          <w:szCs w:val="20"/>
        </w:rPr>
        <w:t xml:space="preserve"> </w:t>
      </w:r>
      <w:r>
        <w:rPr>
          <w:rFonts w:hint="eastAsia" w:ascii="Times New Roman" w:hAnsi="Times New Roman"/>
          <w:iCs/>
          <w:sz w:val="20"/>
          <w:szCs w:val="20"/>
        </w:rPr>
        <w:t>and several TRS resource sets can be configured</w:t>
      </w:r>
      <w:r>
        <w:rPr>
          <w:rFonts w:hint="eastAsia" w:ascii="Times New Roman" w:hAnsi="Times New Roman"/>
          <w:i/>
          <w:sz w:val="20"/>
          <w:szCs w:val="20"/>
        </w:rPr>
        <w:t xml:space="preserve"> </w:t>
      </w:r>
      <w:r>
        <w:rPr>
          <w:rFonts w:hint="eastAsia" w:ascii="Times New Roman" w:hAnsi="Times New Roman"/>
          <w:iCs/>
          <w:sz w:val="20"/>
          <w:szCs w:val="20"/>
        </w:rPr>
        <w:t xml:space="preserve">in </w:t>
      </w:r>
      <w:r>
        <w:rPr>
          <w:rFonts w:hint="eastAsia" w:ascii="Times New Roman" w:hAnsi="Times New Roman"/>
          <w:iCs/>
          <w:sz w:val="20"/>
          <w:szCs w:val="20"/>
          <w:lang w:val="en-US" w:eastAsia="zh-CN"/>
        </w:rPr>
        <w:t xml:space="preserve">single </w:t>
      </w:r>
      <w:r>
        <w:rPr>
          <w:rFonts w:hint="eastAsia" w:ascii="Times New Roman" w:hAnsi="Times New Roman"/>
          <w:iCs/>
          <w:sz w:val="20"/>
          <w:szCs w:val="20"/>
        </w:rPr>
        <w:t xml:space="preserve">CSI reporting configuration. </w:t>
      </w:r>
      <w:r>
        <w:rPr>
          <w:rFonts w:hint="eastAsia" w:ascii="Times New Roman" w:hAnsi="Times New Roman"/>
          <w:iCs/>
          <w:sz w:val="20"/>
          <w:szCs w:val="20"/>
          <w:lang w:val="en-US" w:eastAsia="zh-CN"/>
        </w:rPr>
        <w:t>One method is to report the absolute Doppler shift/frequency offset value for simplicity, another method is that</w:t>
      </w:r>
      <w:r>
        <w:rPr>
          <w:rFonts w:hint="eastAsia" w:ascii="Times New Roman" w:hAnsi="Times New Roman"/>
          <w:iCs/>
          <w:sz w:val="20"/>
          <w:szCs w:val="20"/>
        </w:rPr>
        <w:t xml:space="preserve"> one TRS resource set is used as one reference TRS, </w:t>
      </w:r>
      <w:bookmarkStart w:id="6" w:name="OLE_LINK20"/>
      <w:r>
        <w:rPr>
          <w:rFonts w:hint="eastAsia" w:ascii="Times New Roman" w:hAnsi="Times New Roman"/>
          <w:iCs/>
          <w:sz w:val="20"/>
          <w:szCs w:val="20"/>
        </w:rPr>
        <w:t>the Doppler shift/frequency offset</w:t>
      </w:r>
      <w:bookmarkEnd w:id="6"/>
      <w:r>
        <w:rPr>
          <w:rFonts w:hint="eastAsia" w:ascii="Times New Roman" w:hAnsi="Times New Roman"/>
          <w:iCs/>
          <w:sz w:val="20"/>
          <w:szCs w:val="20"/>
        </w:rPr>
        <w:t xml:space="preserve"> estimated from the reference TRS resource set can be treated as a reference value, and the relative value of other Doppler shift/frequency offset values estimated from other TRS resource sets to the reference Doppler shift/frequency offset can be reported to TRP, as shown in Figure 1.</w:t>
      </w:r>
    </w:p>
    <w:p>
      <w:pPr>
        <w:snapToGrid w:val="0"/>
        <w:spacing w:before="180" w:beforeLines="50" w:after="180" w:afterLines="50" w:line="240" w:lineRule="auto"/>
        <w:jc w:val="center"/>
      </w:pPr>
      <w:r>
        <w:drawing>
          <wp:inline distT="0" distB="0" distL="114300" distR="114300">
            <wp:extent cx="3933825" cy="2085975"/>
            <wp:effectExtent l="0" t="0" r="9525" b="952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5"/>
                    <a:stretch>
                      <a:fillRect/>
                    </a:stretch>
                  </pic:blipFill>
                  <pic:spPr>
                    <a:xfrm>
                      <a:off x="0" y="0"/>
                      <a:ext cx="3933825" cy="208597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Figured 1</w:t>
      </w:r>
      <w:r>
        <w:rPr>
          <w:rFonts w:hint="eastAsia" w:ascii="Times New Roman" w:hAnsi="Times New Roman"/>
          <w:sz w:val="20"/>
          <w:szCs w:val="20"/>
        </w:rPr>
        <w:t xml:space="preserve"> UE reports the relative Doppler shift/frequency offset</w:t>
      </w:r>
    </w:p>
    <w:p>
      <w:pPr>
        <w:snapToGrid w:val="0"/>
        <w:spacing w:before="0" w:beforeLines="-2147483648" w:after="0" w:afterLines="-2147483648" w:line="240" w:lineRule="auto"/>
        <w:jc w:val="both"/>
        <w:rPr>
          <w:rFonts w:ascii="Times New Roman" w:hAnsi="Times New Roman"/>
          <w:i/>
          <w:iCs/>
          <w:sz w:val="20"/>
          <w:szCs w:val="20"/>
        </w:rPr>
      </w:pPr>
      <w:r>
        <w:rPr>
          <w:rFonts w:hint="eastAsia" w:ascii="Times New Roman" w:hAnsi="Times New Roman"/>
          <w:b/>
          <w:bCs/>
          <w:i/>
          <w:iCs/>
          <w:sz w:val="20"/>
          <w:szCs w:val="20"/>
        </w:rPr>
        <w:t>Proposal 3:</w:t>
      </w:r>
      <w:r>
        <w:rPr>
          <w:rFonts w:ascii="Times New Roman" w:hAnsi="Times New Roman"/>
          <w:b/>
          <w:bCs/>
          <w:i/>
          <w:iCs/>
          <w:sz w:val="20"/>
          <w:szCs w:val="20"/>
        </w:rPr>
        <w:t xml:space="preserve"> </w:t>
      </w:r>
      <w:r>
        <w:rPr>
          <w:rFonts w:ascii="Times New Roman" w:hAnsi="Times New Roman"/>
          <w:bCs/>
          <w:i/>
          <w:iCs/>
          <w:sz w:val="20"/>
          <w:szCs w:val="20"/>
        </w:rPr>
        <w:t>For specification-based TRP Doppler pre-compensation</w:t>
      </w:r>
      <w:r>
        <w:rPr>
          <w:rFonts w:ascii="Times New Roman" w:hAnsi="Times New Roman"/>
          <w:i/>
          <w:iCs/>
          <w:sz w:val="20"/>
          <w:szCs w:val="20"/>
        </w:rPr>
        <w:t>, support at least UL RS Doppler estimation by gNB</w:t>
      </w:r>
    </w:p>
    <w:p>
      <w:pPr>
        <w:pStyle w:val="99"/>
        <w:numPr>
          <w:ilvl w:val="0"/>
          <w:numId w:val="8"/>
        </w:numPr>
        <w:snapToGrid w:val="0"/>
        <w:spacing w:before="0" w:beforeLines="-2147483648" w:after="0" w:afterLines="-2147483648" w:line="240" w:lineRule="auto"/>
        <w:ind w:left="840" w:hanging="420" w:firstLineChars="0"/>
        <w:jc w:val="both"/>
        <w:rPr>
          <w:rFonts w:ascii="Times New Roman" w:hAnsi="Times New Roman"/>
          <w:i/>
          <w:iCs/>
          <w:sz w:val="20"/>
          <w:szCs w:val="20"/>
        </w:rPr>
      </w:pPr>
      <w:r>
        <w:rPr>
          <w:rFonts w:ascii="Times New Roman" w:hAnsi="Times New Roman"/>
          <w:i/>
          <w:iCs/>
          <w:sz w:val="20"/>
          <w:szCs w:val="20"/>
        </w:rPr>
        <w:t>If DL based Doppler feedback by UE is supported, the existed CSI reporting mechanism should be re-used for the Doppler feedback.</w:t>
      </w:r>
    </w:p>
    <w:p>
      <w:pPr>
        <w:pStyle w:val="99"/>
        <w:numPr>
          <w:ilvl w:val="0"/>
          <w:numId w:val="10"/>
        </w:numPr>
        <w:snapToGrid w:val="0"/>
        <w:spacing w:before="0" w:beforeLines="-2147483648" w:after="0" w:afterLines="-2147483648" w:line="240" w:lineRule="auto"/>
        <w:ind w:left="1140" w:hanging="420" w:firstLineChars="0"/>
        <w:jc w:val="both"/>
        <w:rPr>
          <w:rFonts w:ascii="Times New Roman" w:hAnsi="Times New Roman"/>
          <w:i/>
          <w:iCs/>
          <w:sz w:val="20"/>
          <w:szCs w:val="20"/>
        </w:rPr>
      </w:pPr>
      <w:r>
        <w:rPr>
          <w:rFonts w:ascii="Times New Roman" w:hAnsi="Times New Roman"/>
          <w:i/>
          <w:sz w:val="20"/>
          <w:szCs w:val="20"/>
        </w:rPr>
        <w:t>One configured TRS resource set is used as a reference, and the relative Doppler shift/frequency offset among the other TRS resource sets and the reference TRS resource set should be reported.</w:t>
      </w:r>
    </w:p>
    <w:p>
      <w:pPr>
        <w:pStyle w:val="4"/>
        <w:snapToGrid w:val="0"/>
        <w:spacing w:before="180" w:beforeLines="50" w:after="180" w:afterLines="50" w:line="240" w:lineRule="auto"/>
        <w:rPr>
          <w:rFonts w:ascii="Times New Roman" w:hAnsi="Times New Roman"/>
          <w:sz w:val="24"/>
          <w:szCs w:val="24"/>
          <w:lang w:val="en-US"/>
        </w:rPr>
      </w:pPr>
      <w:r>
        <w:rPr>
          <w:rFonts w:ascii="Times New Roman" w:hAnsi="Times New Roman"/>
          <w:sz w:val="24"/>
          <w:szCs w:val="24"/>
          <w:lang w:val="en-US"/>
        </w:rPr>
        <w:t>QCL</w:t>
      </w:r>
      <w:r>
        <w:rPr>
          <w:rFonts w:hint="eastAsia" w:ascii="Times New Roman" w:hAnsi="Times New Roman"/>
          <w:sz w:val="24"/>
          <w:szCs w:val="24"/>
          <w:lang w:val="en-US"/>
        </w:rPr>
        <w:t>-like association between DL and UL RS</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For TRP based pre-compensation based on UL RS, several steps are listed as follows:</w:t>
      </w:r>
    </w:p>
    <w:p>
      <w:pPr>
        <w:numPr>
          <w:ilvl w:val="0"/>
          <w:numId w:val="11"/>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Step 1: </w:t>
      </w:r>
      <w:bookmarkStart w:id="7" w:name="OLE_LINK8"/>
      <w:r>
        <w:rPr>
          <w:rFonts w:hint="eastAsia" w:ascii="Times New Roman" w:hAnsi="Times New Roman"/>
          <w:sz w:val="20"/>
          <w:szCs w:val="20"/>
        </w:rPr>
        <w:t>TRS0</w:t>
      </w:r>
      <w:bookmarkEnd w:id="7"/>
      <w:r>
        <w:rPr>
          <w:rFonts w:hint="eastAsia" w:ascii="Times New Roman" w:hAnsi="Times New Roman"/>
          <w:sz w:val="20"/>
          <w:szCs w:val="20"/>
        </w:rPr>
        <w:t xml:space="preserve"> is first transmitted from TRP0. Based on estimation of TRS</w:t>
      </w:r>
      <w:r>
        <w:rPr>
          <w:rFonts w:hint="eastAsia" w:ascii="Times New Roman" w:hAnsi="Times New Roman"/>
          <w:sz w:val="20"/>
          <w:szCs w:val="20"/>
          <w:vertAlign w:val="subscript"/>
        </w:rPr>
        <w:t>0</w:t>
      </w:r>
      <w:r>
        <w:rPr>
          <w:rFonts w:hint="eastAsia" w:ascii="Times New Roman" w:hAnsi="Times New Roman"/>
          <w:sz w:val="20"/>
          <w:szCs w:val="20"/>
        </w:rPr>
        <w:t xml:space="preserve">, UE modulate its center frequency for UL signal transmission, e.g. SRS. Because of Doppler shift between UE and TRP0, the center frequency of SRS transmission will be </w:t>
      </w:r>
      <w:r>
        <w:rPr>
          <w:rFonts w:hint="eastAsia" w:ascii="Times New Roman" w:hAnsi="Times New Roman"/>
          <w:position w:val="-10"/>
          <w:sz w:val="20"/>
          <w:szCs w:val="20"/>
        </w:rPr>
        <w:object>
          <v:shape id="_x0000_i1025" o:spt="75" type="#_x0000_t75" style="height:18.9pt;width:37.0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ascii="Times New Roman" w:hAnsi="Times New Roman"/>
          <w:sz w:val="20"/>
          <w:szCs w:val="20"/>
        </w:rPr>
        <w:t>;</w:t>
      </w:r>
    </w:p>
    <w:p>
      <w:pPr>
        <w:numPr>
          <w:ilvl w:val="0"/>
          <w:numId w:val="11"/>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Step 2:</w:t>
      </w:r>
      <w:r>
        <w:rPr>
          <w:rFonts w:ascii="Times New Roman" w:hAnsi="Times New Roman"/>
          <w:sz w:val="20"/>
          <w:szCs w:val="20"/>
        </w:rPr>
        <w:t xml:space="preserve"> </w:t>
      </w:r>
      <w:r>
        <w:rPr>
          <w:rFonts w:hint="eastAsia" w:ascii="Times New Roman" w:hAnsi="Times New Roman"/>
          <w:sz w:val="20"/>
          <w:szCs w:val="20"/>
        </w:rPr>
        <w:t>TRP0</w:t>
      </w:r>
      <w:bookmarkStart w:id="8" w:name="OLE_LINK2"/>
      <w:r>
        <w:rPr>
          <w:rFonts w:hint="eastAsia" w:ascii="Times New Roman" w:hAnsi="Times New Roman"/>
          <w:sz w:val="20"/>
          <w:szCs w:val="20"/>
        </w:rPr>
        <w:t xml:space="preserve"> receives SRS on the center frequency </w:t>
      </w:r>
      <w:bookmarkStart w:id="9" w:name="OLE_LINK3"/>
      <w:r>
        <w:rPr>
          <w:rFonts w:hint="eastAsia" w:ascii="Times New Roman" w:hAnsi="Times New Roman"/>
          <w:position w:val="-10"/>
          <w:sz w:val="20"/>
          <w:szCs w:val="20"/>
        </w:rPr>
        <w:object>
          <v:shape id="_x0000_i1026" o:spt="75" type="#_x0000_t75" style="height:18.9pt;width:42.0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bookmarkEnd w:id="8"/>
      <w:bookmarkEnd w:id="9"/>
      <w:r>
        <w:rPr>
          <w:rFonts w:hint="eastAsia" w:ascii="Times New Roman" w:hAnsi="Times New Roman"/>
          <w:sz w:val="20"/>
          <w:szCs w:val="20"/>
        </w:rPr>
        <w:t xml:space="preserve">, and TRP1 received SRS on the center frequency </w:t>
      </w:r>
      <w:bookmarkStart w:id="10" w:name="OLE_LINK16"/>
      <w:r>
        <w:rPr>
          <w:rFonts w:hint="eastAsia" w:ascii="Times New Roman" w:hAnsi="Times New Roman"/>
          <w:position w:val="-10"/>
          <w:sz w:val="20"/>
          <w:szCs w:val="20"/>
        </w:rPr>
        <w:object>
          <v:shape id="_x0000_i1027" o:spt="75" type="#_x0000_t75" style="height:18.9pt;width:42.0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bookmarkEnd w:id="10"/>
      <w:r>
        <w:rPr>
          <w:rFonts w:hint="eastAsia" w:ascii="Times New Roman" w:hAnsi="Times New Roman"/>
          <w:sz w:val="20"/>
          <w:szCs w:val="20"/>
        </w:rPr>
        <w:t xml:space="preserve">; TRP1 can get the frequency offset </w:t>
      </w:r>
      <w:r>
        <w:rPr>
          <w:rFonts w:hint="eastAsia" w:ascii="Times New Roman" w:hAnsi="Times New Roman"/>
          <w:position w:val="-10"/>
          <w:sz w:val="20"/>
          <w:szCs w:val="20"/>
        </w:rPr>
        <w:object>
          <v:shape id="_x0000_i1028" o:spt="75" type="#_x0000_t75" style="height:19.95pt;width:44.5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ascii="Times New Roman" w:hAnsi="Times New Roman"/>
          <w:sz w:val="20"/>
          <w:szCs w:val="20"/>
        </w:rPr>
        <w:t xml:space="preserve"> between TRP1 and TRP0;</w:t>
      </w:r>
    </w:p>
    <w:p>
      <w:pPr>
        <w:numPr>
          <w:ilvl w:val="0"/>
          <w:numId w:val="11"/>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Step 3: TRP1 do</w:t>
      </w:r>
      <w:r>
        <w:rPr>
          <w:rFonts w:ascii="Times New Roman" w:hAnsi="Times New Roman"/>
          <w:sz w:val="20"/>
          <w:szCs w:val="20"/>
        </w:rPr>
        <w:t>es</w:t>
      </w:r>
      <w:r>
        <w:rPr>
          <w:rFonts w:hint="eastAsia" w:ascii="Times New Roman" w:hAnsi="Times New Roman"/>
          <w:sz w:val="20"/>
          <w:szCs w:val="20"/>
        </w:rPr>
        <w:t xml:space="preserve"> frequency offset pre-compensation on PDSCH and DMRS so that the </w:t>
      </w:r>
      <w:r>
        <w:rPr>
          <w:rFonts w:ascii="Times New Roman" w:hAnsi="Times New Roman"/>
          <w:sz w:val="20"/>
          <w:szCs w:val="20"/>
        </w:rPr>
        <w:t>frequency</w:t>
      </w:r>
      <w:r>
        <w:rPr>
          <w:rFonts w:hint="eastAsia" w:ascii="Times New Roman" w:hAnsi="Times New Roman"/>
          <w:sz w:val="20"/>
          <w:szCs w:val="20"/>
        </w:rPr>
        <w:t xml:space="preserve"> offset of PDSCH and DMRS from two TRPs are the same, but TRS1</w:t>
      </w:r>
      <w:r>
        <w:rPr>
          <w:rFonts w:hint="eastAsia" w:ascii="Times New Roman" w:hAnsi="Times New Roman"/>
          <w:sz w:val="20"/>
          <w:szCs w:val="20"/>
          <w:vertAlign w:val="subscript"/>
        </w:rPr>
        <w:t xml:space="preserve"> </w:t>
      </w:r>
      <w:r>
        <w:rPr>
          <w:rFonts w:hint="eastAsia" w:ascii="Times New Roman" w:hAnsi="Times New Roman"/>
          <w:sz w:val="20"/>
          <w:szCs w:val="20"/>
        </w:rPr>
        <w:t xml:space="preserve">is still transmitted on </w:t>
      </w:r>
      <w:r>
        <w:rPr>
          <w:rFonts w:hint="eastAsia" w:ascii="Times New Roman" w:hAnsi="Times New Roman"/>
          <w:i/>
          <w:iCs/>
          <w:sz w:val="20"/>
          <w:szCs w:val="20"/>
        </w:rPr>
        <w:t>f</w:t>
      </w:r>
      <w:r>
        <w:rPr>
          <w:rFonts w:hint="eastAsia" w:ascii="Times New Roman" w:hAnsi="Times New Roman"/>
          <w:i/>
          <w:iCs/>
          <w:sz w:val="20"/>
          <w:szCs w:val="20"/>
          <w:vertAlign w:val="subscript"/>
        </w:rPr>
        <w:t>c</w:t>
      </w:r>
      <w:r>
        <w:rPr>
          <w:rFonts w:hint="eastAsia" w:ascii="Times New Roman" w:hAnsi="Times New Roman"/>
          <w:sz w:val="20"/>
          <w:szCs w:val="20"/>
        </w:rPr>
        <w:t xml:space="preserve">. Since the transmit center frequency of TRS0 and PDSCH/DMRS are the same, TRS0 can be used for QCL-TypeA estimation including both Doppler parameters and delay parameters. However, TRS1 is used only for delay related estimation. </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In step 2, TRP0 and TRP1 receives SRS with different center frequency</w:t>
      </w:r>
      <w:r>
        <w:rPr>
          <w:rFonts w:ascii="Times New Roman" w:hAnsi="Times New Roman"/>
          <w:iCs/>
          <w:sz w:val="20"/>
          <w:szCs w:val="20"/>
        </w:rPr>
        <w:t>.</w:t>
      </w:r>
      <w:r>
        <w:rPr>
          <w:rFonts w:hint="eastAsia" w:ascii="Times New Roman" w:hAnsi="Times New Roman"/>
          <w:iCs/>
          <w:sz w:val="20"/>
          <w:szCs w:val="20"/>
        </w:rPr>
        <w:t xml:space="preserve"> TRP1 estimate the frequency offset by calculating the difference of these two center frequency as</w:t>
      </w:r>
      <w:bookmarkStart w:id="11" w:name="OLE_LINK6"/>
      <w:r>
        <w:rPr>
          <w:rFonts w:hint="eastAsia" w:ascii="Times New Roman" w:hAnsi="Times New Roman"/>
          <w:iCs/>
          <w:position w:val="-10"/>
          <w:sz w:val="20"/>
          <w:szCs w:val="20"/>
        </w:rPr>
        <w:object>
          <v:shape id="_x0000_i1029" o:spt="75" type="#_x0000_t75" style="height:18.2pt;width:104.45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bookmarkEnd w:id="11"/>
      <w:r>
        <w:rPr>
          <w:rFonts w:hint="eastAsia" w:ascii="Times New Roman" w:hAnsi="Times New Roman"/>
          <w:iCs/>
          <w:sz w:val="20"/>
          <w:szCs w:val="20"/>
        </w:rPr>
        <w:t>,</w:t>
      </w:r>
      <w:r>
        <w:rPr>
          <w:rFonts w:ascii="Times New Roman" w:hAnsi="Times New Roman"/>
          <w:iCs/>
          <w:sz w:val="20"/>
          <w:szCs w:val="20"/>
        </w:rPr>
        <w:t xml:space="preserve"> where </w:t>
      </w:r>
      <w:r>
        <w:rPr>
          <w:rFonts w:hint="eastAsia" w:ascii="Times New Roman" w:hAnsi="Times New Roman"/>
          <w:iCs/>
          <w:sz w:val="20"/>
          <w:szCs w:val="20"/>
        </w:rPr>
        <w:t xml:space="preserve">the parameter </w:t>
      </w:r>
      <w:r>
        <w:rPr>
          <w:rFonts w:hint="eastAsia" w:ascii="Times New Roman" w:hAnsi="Times New Roman"/>
          <w:iCs/>
          <w:position w:val="-10"/>
          <w:sz w:val="20"/>
          <w:szCs w:val="20"/>
        </w:rPr>
        <w:object>
          <v:shape id="_x0000_i1030" o:spt="75" type="#_x0000_t75" style="height:14.6pt;width:16.4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rFonts w:ascii="Times New Roman" w:hAnsi="Times New Roman"/>
          <w:iCs/>
          <w:sz w:val="20"/>
          <w:szCs w:val="20"/>
        </w:rPr>
        <w:t xml:space="preserve"> does</w:t>
      </w:r>
      <w:r>
        <w:rPr>
          <w:rFonts w:hint="eastAsia" w:ascii="Times New Roman" w:hAnsi="Times New Roman"/>
          <w:iCs/>
          <w:sz w:val="20"/>
          <w:szCs w:val="20"/>
        </w:rPr>
        <w:t xml:space="preserve"> not </w:t>
      </w:r>
      <w:r>
        <w:rPr>
          <w:rFonts w:ascii="Times New Roman" w:hAnsi="Times New Roman"/>
          <w:iCs/>
          <w:sz w:val="20"/>
          <w:szCs w:val="20"/>
        </w:rPr>
        <w:t xml:space="preserve"> impact</w:t>
      </w:r>
      <w:r>
        <w:rPr>
          <w:rFonts w:hint="eastAsia" w:ascii="Times New Roman" w:hAnsi="Times New Roman"/>
          <w:iCs/>
          <w:sz w:val="20"/>
          <w:szCs w:val="20"/>
        </w:rPr>
        <w:t xml:space="preserve"> the calculation of the frequency offset between the two TRP</w:t>
      </w:r>
      <w:r>
        <w:rPr>
          <w:rFonts w:ascii="Times New Roman" w:hAnsi="Times New Roman"/>
          <w:iCs/>
          <w:sz w:val="20"/>
          <w:szCs w:val="20"/>
        </w:rPr>
        <w:t xml:space="preserve"> as </w:t>
      </w:r>
      <w:r>
        <w:rPr>
          <w:rFonts w:hint="eastAsia" w:ascii="Times New Roman" w:hAnsi="Times New Roman"/>
          <w:iCs/>
          <w:sz w:val="20"/>
          <w:szCs w:val="20"/>
        </w:rPr>
        <w:t>UE just needs to transmit SRS to different TRP</w:t>
      </w:r>
      <w:r>
        <w:rPr>
          <w:rFonts w:ascii="Times New Roman" w:hAnsi="Times New Roman"/>
          <w:iCs/>
          <w:sz w:val="20"/>
          <w:szCs w:val="20"/>
        </w:rPr>
        <w:t>s</w:t>
      </w:r>
      <w:r>
        <w:rPr>
          <w:rFonts w:hint="eastAsia" w:ascii="Times New Roman" w:hAnsi="Times New Roman"/>
          <w:iCs/>
          <w:sz w:val="20"/>
          <w:szCs w:val="20"/>
        </w:rPr>
        <w:t xml:space="preserve"> on the same center frequency</w:t>
      </w:r>
      <w:r>
        <w:rPr>
          <w:rFonts w:ascii="Times New Roman" w:hAnsi="Times New Roman"/>
          <w:iCs/>
          <w:sz w:val="20"/>
          <w:szCs w:val="20"/>
        </w:rPr>
        <w:t>.</w:t>
      </w:r>
      <w:r>
        <w:rPr>
          <w:rFonts w:hint="eastAsia" w:ascii="Times New Roman" w:hAnsi="Times New Roman"/>
          <w:iCs/>
          <w:sz w:val="20"/>
          <w:szCs w:val="20"/>
        </w:rPr>
        <w:t xml:space="preserve"> </w:t>
      </w:r>
      <w:r>
        <w:rPr>
          <w:rFonts w:ascii="Times New Roman" w:hAnsi="Times New Roman"/>
          <w:iCs/>
          <w:sz w:val="20"/>
          <w:szCs w:val="20"/>
        </w:rPr>
        <w:t>Network</w:t>
      </w:r>
      <w:r>
        <w:rPr>
          <w:rFonts w:hint="eastAsia" w:ascii="Times New Roman" w:hAnsi="Times New Roman"/>
          <w:iCs/>
          <w:sz w:val="20"/>
          <w:szCs w:val="20"/>
        </w:rPr>
        <w:t xml:space="preserve"> will get the frequency offset</w:t>
      </w:r>
      <w:r>
        <w:rPr>
          <w:rFonts w:hint="eastAsia" w:ascii="Times New Roman" w:hAnsi="Times New Roman"/>
          <w:iCs/>
          <w:position w:val="-10"/>
          <w:sz w:val="20"/>
          <w:szCs w:val="20"/>
        </w:rPr>
        <w:object>
          <v:shape id="_x0000_i1031" o:spt="75" type="#_x0000_t75" style="height:16.4pt;width:37.0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r>
        <w:rPr>
          <w:rFonts w:hint="eastAsia" w:ascii="Times New Roman" w:hAnsi="Times New Roman"/>
          <w:iCs/>
          <w:sz w:val="20"/>
          <w:szCs w:val="20"/>
        </w:rPr>
        <w:t>, so there is no need to indicate the DL RS for the QCL-like association.</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4: </w:t>
      </w:r>
      <w:r>
        <w:rPr>
          <w:rFonts w:hint="eastAsia" w:ascii="Times New Roman" w:hAnsi="Times New Roman"/>
          <w:bCs/>
          <w:i/>
          <w:iCs/>
          <w:sz w:val="20"/>
          <w:szCs w:val="20"/>
        </w:rPr>
        <w:t xml:space="preserve">For pre-compensation based on UL RS, </w:t>
      </w:r>
      <w:r>
        <w:rPr>
          <w:rFonts w:ascii="Times New Roman" w:hAnsi="Times New Roman"/>
          <w:bCs/>
          <w:i/>
          <w:iCs/>
          <w:sz w:val="20"/>
          <w:szCs w:val="20"/>
        </w:rPr>
        <w:t xml:space="preserve">do not support </w:t>
      </w:r>
      <w:r>
        <w:rPr>
          <w:rFonts w:hint="eastAsia" w:ascii="Times New Roman" w:hAnsi="Times New Roman"/>
          <w:bCs/>
          <w:i/>
          <w:iCs/>
          <w:sz w:val="20"/>
          <w:szCs w:val="20"/>
        </w:rPr>
        <w:t xml:space="preserve">the </w:t>
      </w:r>
      <w:r>
        <w:rPr>
          <w:rFonts w:ascii="Times New Roman" w:hAnsi="Times New Roman"/>
          <w:bCs/>
          <w:i/>
          <w:iCs/>
          <w:sz w:val="20"/>
          <w:szCs w:val="20"/>
        </w:rPr>
        <w:t xml:space="preserve">QCL-like association between the resource(s) received </w:t>
      </w:r>
      <w:r>
        <w:rPr>
          <w:rFonts w:hint="eastAsia" w:ascii="Times New Roman" w:hAnsi="Times New Roman"/>
          <w:bCs/>
          <w:i/>
          <w:iCs/>
          <w:sz w:val="20"/>
          <w:szCs w:val="20"/>
        </w:rPr>
        <w:t xml:space="preserve">by UE and the </w:t>
      </w:r>
      <w:r>
        <w:rPr>
          <w:rFonts w:ascii="Times New Roman" w:hAnsi="Times New Roman"/>
          <w:bCs/>
          <w:i/>
          <w:iCs/>
          <w:sz w:val="20"/>
          <w:szCs w:val="20"/>
        </w:rPr>
        <w:t xml:space="preserve">transmitted UL signal. </w:t>
      </w:r>
    </w:p>
    <w:p>
      <w:pPr>
        <w:pStyle w:val="3"/>
        <w:numPr>
          <w:ilvl w:val="1"/>
          <w:numId w:val="4"/>
        </w:numPr>
        <w:snapToGrid w:val="0"/>
        <w:spacing w:before="180" w:beforeLines="50" w:after="180" w:afterLines="50"/>
        <w:rPr>
          <w:rFonts w:ascii="Arial" w:hAnsi="Arial" w:cs="Arial"/>
          <w:sz w:val="24"/>
          <w:szCs w:val="24"/>
          <w:lang w:val="en-US"/>
        </w:rPr>
      </w:pPr>
      <w:bookmarkStart w:id="12" w:name="OLE_LINK15"/>
      <w:r>
        <w:rPr>
          <w:rFonts w:ascii="Arial" w:hAnsi="Arial" w:cs="Arial"/>
          <w:sz w:val="24"/>
          <w:szCs w:val="24"/>
          <w:lang w:val="en-US"/>
        </w:rPr>
        <w:t>Default TCI state</w:t>
      </w:r>
      <w:r>
        <w:rPr>
          <w:rFonts w:hint="eastAsia" w:ascii="Arial" w:hAnsi="Arial" w:cs="Arial"/>
          <w:sz w:val="24"/>
          <w:szCs w:val="24"/>
          <w:lang w:val="en-US"/>
        </w:rPr>
        <w:t xml:space="preserve"> for DL transmission</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rPr>
                <w:rFonts w:ascii="Times New Roman" w:hAnsi="Times New Roman"/>
                <w:b/>
                <w:bCs/>
                <w:i/>
                <w:iCs/>
                <w:sz w:val="20"/>
                <w:szCs w:val="20"/>
                <w:u w:val="single"/>
              </w:rPr>
            </w:pPr>
            <w:bookmarkStart w:id="13" w:name="OLE_LINK7"/>
            <w:r>
              <w:rPr>
                <w:rFonts w:ascii="Times New Roman" w:hAnsi="Times New Roman"/>
                <w:b/>
                <w:bCs/>
                <w:i/>
                <w:iCs/>
                <w:sz w:val="20"/>
                <w:szCs w:val="20"/>
                <w:u w:val="single"/>
              </w:rPr>
              <w:t>Agreement#4</w:t>
            </w:r>
            <w:r>
              <w:rPr>
                <w:rFonts w:hint="eastAsia" w:ascii="Times New Roman" w:hAnsi="Times New Roman"/>
                <w:b/>
                <w:bCs/>
                <w:i/>
                <w:iCs/>
                <w:sz w:val="20"/>
                <w:szCs w:val="20"/>
                <w:u w:val="single"/>
              </w:rPr>
              <w:t>:</w:t>
            </w:r>
          </w:p>
          <w:bookmarkEnd w:id="13"/>
          <w:p>
            <w:pPr>
              <w:pStyle w:val="98"/>
              <w:numPr>
                <w:ilvl w:val="0"/>
                <w:numId w:val="9"/>
              </w:numPr>
              <w:snapToGrid w:val="0"/>
              <w:spacing w:after="0" w:line="240" w:lineRule="auto"/>
              <w:ind w:left="726" w:hanging="363"/>
              <w:jc w:val="both"/>
              <w:rPr>
                <w:rFonts w:ascii="Times" w:hAnsi="Times" w:cs="Times"/>
                <w:i/>
                <w:iCs/>
                <w:sz w:val="20"/>
                <w:szCs w:val="20"/>
              </w:rPr>
            </w:pPr>
            <w:r>
              <w:rPr>
                <w:rFonts w:ascii="Times" w:hAnsi="Times" w:cs="Times"/>
                <w:i/>
                <w:iCs/>
                <w:sz w:val="20"/>
                <w:szCs w:val="20"/>
              </w:rPr>
              <w:t>Support MAC CE activation of two TCI states for PDCCH</w:t>
            </w:r>
          </w:p>
          <w:p>
            <w:pPr>
              <w:pStyle w:val="98"/>
              <w:numPr>
                <w:ilvl w:val="0"/>
                <w:numId w:val="9"/>
              </w:numPr>
              <w:snapToGrid w:val="0"/>
              <w:spacing w:after="0" w:line="240" w:lineRule="auto"/>
              <w:ind w:left="726" w:hanging="363"/>
              <w:jc w:val="both"/>
            </w:pPr>
            <w:r>
              <w:rPr>
                <w:rFonts w:ascii="Times" w:hAnsi="Times" w:cs="Times"/>
                <w:i/>
                <w:iCs/>
                <w:sz w:val="20"/>
                <w:szCs w:val="20"/>
              </w:rPr>
              <w:t>FFS other details</w:t>
            </w:r>
          </w:p>
          <w:p>
            <w:pPr>
              <w:snapToGrid w:val="0"/>
              <w:spacing w:after="0"/>
            </w:pPr>
            <w:r>
              <w:rPr>
                <w:rFonts w:ascii="Times New Roman" w:hAnsi="Times New Roman"/>
                <w:b/>
                <w:bCs/>
                <w:i/>
                <w:iCs/>
                <w:sz w:val="20"/>
                <w:szCs w:val="20"/>
                <w:u w:val="single"/>
              </w:rPr>
              <w:t>Agreement#</w:t>
            </w:r>
            <w:r>
              <w:rPr>
                <w:rFonts w:hint="eastAsia" w:ascii="Times New Roman" w:hAnsi="Times New Roman"/>
                <w:b/>
                <w:bCs/>
                <w:i/>
                <w:iCs/>
                <w:sz w:val="20"/>
                <w:szCs w:val="20"/>
                <w:u w:val="single"/>
              </w:rPr>
              <w:t>5:</w:t>
            </w:r>
          </w:p>
          <w:p>
            <w:pPr>
              <w:spacing w:after="0" w:line="240" w:lineRule="auto"/>
              <w:jc w:val="both"/>
              <w:rPr>
                <w:rFonts w:ascii="Times New Roman" w:hAnsi="Times New Roman"/>
                <w:i/>
                <w:iCs/>
                <w:sz w:val="20"/>
                <w:szCs w:val="20"/>
              </w:rPr>
            </w:pPr>
            <w:r>
              <w:rPr>
                <w:rFonts w:ascii="Times New Roman" w:hAnsi="Times New Roman"/>
                <w:i/>
                <w:iCs/>
                <w:sz w:val="20"/>
                <w:szCs w:val="20"/>
              </w:rPr>
              <w:t>If enhanced SFN PDCCH transmission scheme (scheme 1 or TRP-based pre-compensation)</w:t>
            </w:r>
            <w:r>
              <w:rPr>
                <w:rStyle w:val="68"/>
                <w:rFonts w:ascii="Times New Roman" w:hAnsi="Times New Roman"/>
                <w:i/>
                <w:iCs/>
                <w:sz w:val="20"/>
                <w:szCs w:val="20"/>
              </w:rPr>
              <w:t> </w:t>
            </w:r>
            <w:r>
              <w:rPr>
                <w:rFonts w:ascii="Times New Roman" w:hAnsi="Times New Roman"/>
                <w:i/>
                <w:iCs/>
                <w:sz w:val="20"/>
                <w:szCs w:val="20"/>
              </w:rPr>
              <w:t>is configured and a CORESET is activated with two TCI states and UE is configured with</w:t>
            </w:r>
            <w:r>
              <w:rPr>
                <w:rStyle w:val="68"/>
                <w:rFonts w:ascii="Times New Roman" w:hAnsi="Times New Roman"/>
                <w:i/>
                <w:iCs/>
                <w:sz w:val="20"/>
                <w:szCs w:val="20"/>
              </w:rPr>
              <w:t> </w:t>
            </w:r>
            <w:r>
              <w:rPr>
                <w:rStyle w:val="32"/>
                <w:rFonts w:ascii="Times New Roman" w:hAnsi="Times New Roman"/>
                <w:iCs/>
                <w:sz w:val="20"/>
                <w:szCs w:val="20"/>
              </w:rPr>
              <w:t>enableTwoDefaultTCI-States</w:t>
            </w:r>
            <w:r>
              <w:rPr>
                <w:rStyle w:val="68"/>
                <w:rFonts w:ascii="Times New Roman" w:hAnsi="Times New Roman"/>
                <w:i/>
                <w:iCs/>
                <w:sz w:val="20"/>
                <w:szCs w:val="20"/>
              </w:rPr>
              <w:t> </w:t>
            </w:r>
            <w:r>
              <w:rPr>
                <w:rFonts w:ascii="Times New Roman" w:hAnsi="Times New Roman"/>
                <w:i/>
                <w:iCs/>
                <w:sz w:val="20"/>
                <w:szCs w:val="20"/>
              </w:rPr>
              <w:t>and time offset between the reception of the DL DCI and the corresponding PDSCH is less than the threshold</w:t>
            </w:r>
            <w:r>
              <w:rPr>
                <w:rStyle w:val="68"/>
                <w:rFonts w:ascii="Times New Roman" w:hAnsi="Times New Roman"/>
                <w:i/>
                <w:iCs/>
                <w:sz w:val="20"/>
                <w:szCs w:val="20"/>
              </w:rPr>
              <w:t> </w:t>
            </w:r>
            <w:r>
              <w:rPr>
                <w:rStyle w:val="32"/>
                <w:rFonts w:ascii="Times New Roman" w:hAnsi="Times New Roman"/>
                <w:iCs/>
                <w:sz w:val="20"/>
                <w:szCs w:val="20"/>
              </w:rPr>
              <w:t>timeDurationForQCL</w:t>
            </w:r>
            <w:r>
              <w:rPr>
                <w:rFonts w:ascii="Times New Roman" w:hAnsi="Times New Roman"/>
                <w:i/>
                <w:iCs/>
                <w:sz w:val="20"/>
                <w:szCs w:val="20"/>
              </w:rPr>
              <w:t>, down-select rule to determine default beam(s) for Rel-17 SFN PDSCH reception in RAN1#106-e:</w:t>
            </w:r>
          </w:p>
          <w:p>
            <w:pPr>
              <w:pStyle w:val="104"/>
              <w:numPr>
                <w:ilvl w:val="0"/>
                <w:numId w:val="12"/>
              </w:numPr>
              <w:spacing w:before="0" w:beforeAutospacing="0" w:after="0" w:afterAutospacing="0" w:line="240" w:lineRule="auto"/>
              <w:jc w:val="both"/>
              <w:rPr>
                <w:rFonts w:ascii="Times" w:hAnsi="Times" w:eastAsia="宋体" w:cs="Times"/>
                <w:bCs/>
                <w:i/>
                <w:iCs/>
                <w:sz w:val="20"/>
                <w:szCs w:val="20"/>
              </w:rPr>
            </w:pPr>
            <w:r>
              <w:rPr>
                <w:rStyle w:val="30"/>
                <w:rFonts w:ascii="Times" w:hAnsi="Times" w:eastAsia="宋体" w:cs="Times"/>
                <w:b w:val="0"/>
                <w:bCs/>
                <w:i/>
                <w:iCs/>
                <w:sz w:val="20"/>
                <w:szCs w:val="20"/>
              </w:rPr>
              <w:t>Alt 1</w:t>
            </w:r>
            <w:r>
              <w:rPr>
                <w:rFonts w:ascii="Times" w:hAnsi="Times" w:eastAsia="Times New Roman" w:cs="Times"/>
                <w:bCs/>
                <w:i/>
                <w:iCs/>
                <w:sz w:val="20"/>
                <w:szCs w:val="20"/>
              </w:rPr>
              <w:t>: Reuse rule to determine TCI states as defined for Rel-16 PDSCH scheme-1a</w:t>
            </w:r>
          </w:p>
          <w:p>
            <w:pPr>
              <w:pStyle w:val="104"/>
              <w:numPr>
                <w:ilvl w:val="0"/>
                <w:numId w:val="12"/>
              </w:numPr>
              <w:spacing w:before="0" w:beforeAutospacing="0" w:after="0" w:afterAutospacing="0" w:line="240" w:lineRule="auto"/>
              <w:jc w:val="both"/>
              <w:rPr>
                <w:b/>
                <w:bCs/>
              </w:rPr>
            </w:pPr>
            <w:r>
              <w:rPr>
                <w:rStyle w:val="30"/>
                <w:rFonts w:ascii="Times" w:hAnsi="Times" w:eastAsia="宋体" w:cs="Times"/>
                <w:b w:val="0"/>
                <w:bCs/>
                <w:i/>
                <w:iCs/>
                <w:sz w:val="20"/>
                <w:szCs w:val="20"/>
              </w:rPr>
              <w:t>Alt 2</w:t>
            </w:r>
            <w:r>
              <w:rPr>
                <w:rFonts w:ascii="Times" w:hAnsi="Times" w:eastAsia="Times New Roman" w:cs="Times"/>
                <w:bCs/>
                <w:i/>
                <w:iCs/>
                <w:sz w:val="20"/>
                <w:szCs w:val="20"/>
              </w:rPr>
              <w:t>: Introduce new rules to determine TCI states based on two TCI state(s) of the CORESET</w:t>
            </w:r>
            <w:r>
              <w:rPr>
                <w:rStyle w:val="68"/>
                <w:rFonts w:ascii="Times" w:hAnsi="Times" w:eastAsia="Times New Roman" w:cs="Times"/>
                <w:bCs/>
                <w:i/>
                <w:iCs/>
                <w:sz w:val="20"/>
                <w:szCs w:val="20"/>
              </w:rPr>
              <w:t> </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the case when the slot offset between PDCCH and PDSCH</w:t>
      </w:r>
      <w:r>
        <w:rPr>
          <w:rFonts w:ascii="Times New Roman" w:hAnsi="Times New Roman"/>
          <w:sz w:val="20"/>
          <w:szCs w:val="20"/>
        </w:rPr>
        <w:t>/AP CSI-RS</w:t>
      </w:r>
      <w:r>
        <w:rPr>
          <w:rFonts w:hint="eastAsia" w:ascii="Times New Roman" w:hAnsi="Times New Roman"/>
          <w:sz w:val="20"/>
          <w:szCs w:val="20"/>
        </w:rPr>
        <w:t xml:space="preserve"> is smaller than the threshold,</w:t>
      </w:r>
      <w:r>
        <w:rPr>
          <w:rFonts w:ascii="Times New Roman" w:hAnsi="Times New Roman"/>
          <w:sz w:val="20"/>
          <w:szCs w:val="20"/>
        </w:rPr>
        <w:t xml:space="preserve"> UE will use the default beam for DL receiving, where</w:t>
      </w:r>
      <w:r>
        <w:rPr>
          <w:rFonts w:hint="eastAsia" w:ascii="Times New Roman" w:hAnsi="Times New Roman"/>
          <w:sz w:val="20"/>
          <w:szCs w:val="20"/>
        </w:rPr>
        <w:t xml:space="preserve"> the default beam of PDSCH</w:t>
      </w:r>
      <w:r>
        <w:rPr>
          <w:rFonts w:ascii="Times New Roman" w:hAnsi="Times New Roman"/>
          <w:sz w:val="20"/>
          <w:szCs w:val="20"/>
        </w:rPr>
        <w:t>/AP CSI-RS</w:t>
      </w:r>
      <w:r>
        <w:rPr>
          <w:rFonts w:hint="eastAsia" w:ascii="Times New Roman" w:hAnsi="Times New Roman"/>
          <w:sz w:val="20"/>
          <w:szCs w:val="20"/>
        </w:rPr>
        <w:t xml:space="preserve"> may be the same as </w:t>
      </w:r>
      <w:r>
        <w:rPr>
          <w:rFonts w:ascii="Times New Roman" w:hAnsi="Times New Roman"/>
          <w:sz w:val="20"/>
          <w:szCs w:val="20"/>
        </w:rPr>
        <w:t>PDCCH based on Rel-15 and Rel-16 procedure. However, a</w:t>
      </w:r>
      <w:r>
        <w:rPr>
          <w:rFonts w:hint="eastAsia" w:ascii="Times New Roman" w:hAnsi="Times New Roman"/>
          <w:sz w:val="20"/>
          <w:szCs w:val="20"/>
        </w:rPr>
        <w:t xml:space="preserve">s shown in above </w:t>
      </w:r>
      <w:r>
        <w:rPr>
          <w:rFonts w:ascii="Times New Roman" w:hAnsi="Times New Roman"/>
          <w:caps/>
          <w:sz w:val="20"/>
          <w:szCs w:val="20"/>
        </w:rPr>
        <w:t>A</w:t>
      </w:r>
      <w:r>
        <w:rPr>
          <w:rFonts w:hint="eastAsia" w:ascii="Times New Roman" w:hAnsi="Times New Roman"/>
          <w:sz w:val="20"/>
          <w:szCs w:val="20"/>
        </w:rPr>
        <w:t>greement</w:t>
      </w:r>
      <w:r>
        <w:rPr>
          <w:rFonts w:ascii="Times New Roman" w:hAnsi="Times New Roman"/>
          <w:sz w:val="20"/>
          <w:szCs w:val="20"/>
        </w:rPr>
        <w:t>#4</w:t>
      </w:r>
      <w:r>
        <w:rPr>
          <w:rFonts w:hint="eastAsia" w:ascii="Times New Roman" w:hAnsi="Times New Roman"/>
          <w:sz w:val="20"/>
          <w:szCs w:val="20"/>
        </w:rPr>
        <w:t xml:space="preserve"> which supports SFN mannered PDCCH with two TCI states,</w:t>
      </w:r>
      <w:r>
        <w:rPr>
          <w:rFonts w:ascii="Times New Roman" w:hAnsi="Times New Roman"/>
          <w:sz w:val="20"/>
          <w:szCs w:val="20"/>
        </w:rPr>
        <w:t xml:space="preserve"> if there is mismatch between the number of indicated TCI states for PDCCH and for PDSCH/AP CSI-RS in Rel-17, the rule of default TCI states defined in Rel-15 and Rel-16 may not be appli</w:t>
      </w:r>
      <w:r>
        <w:rPr>
          <w:rFonts w:hint="eastAsia" w:ascii="Times New Roman" w:hAnsi="Times New Roman"/>
          <w:sz w:val="20"/>
          <w:szCs w:val="20"/>
        </w:rPr>
        <w:t>c</w:t>
      </w:r>
      <w:r>
        <w:rPr>
          <w:rFonts w:ascii="Times New Roman" w:hAnsi="Times New Roman"/>
          <w:sz w:val="20"/>
          <w:szCs w:val="20"/>
        </w:rPr>
        <w:t xml:space="preserve">able directly. </w:t>
      </w:r>
    </w:p>
    <w:p>
      <w:pPr>
        <w:pStyle w:val="4"/>
        <w:numPr>
          <w:ilvl w:val="0"/>
          <w:numId w:val="0"/>
        </w:numPr>
        <w:snapToGrid w:val="0"/>
        <w:spacing w:before="180" w:beforeLines="50" w:after="180" w:afterLines="50" w:line="240" w:lineRule="auto"/>
        <w:ind w:left="720" w:hanging="720"/>
        <w:rPr>
          <w:rFonts w:ascii="Times New Roman" w:hAnsi="Times New Roman"/>
          <w:sz w:val="24"/>
          <w:szCs w:val="24"/>
          <w:lang w:val="en-US"/>
        </w:rPr>
      </w:pPr>
      <w:r>
        <w:rPr>
          <w:rFonts w:ascii="Times New Roman" w:hAnsi="Times New Roman"/>
          <w:sz w:val="24"/>
          <w:szCs w:val="24"/>
          <w:lang w:val="en-US"/>
        </w:rPr>
        <w:t>2.2.1 For PDSCH</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For PDSCH default TCI states, the following cases should be discussed. </w:t>
      </w:r>
    </w:p>
    <w:p>
      <w:pPr>
        <w:pStyle w:val="99"/>
        <w:numPr>
          <w:ilvl w:val="0"/>
          <w:numId w:val="13"/>
        </w:numPr>
        <w:snapToGrid w:val="0"/>
        <w:spacing w:before="180" w:beforeLines="50" w:after="180" w:afterLines="50" w:line="240" w:lineRule="auto"/>
        <w:ind w:firstLineChars="0"/>
        <w:jc w:val="both"/>
        <w:rPr>
          <w:rFonts w:ascii="Times New Roman" w:hAnsi="Times New Roman"/>
          <w:sz w:val="20"/>
          <w:szCs w:val="20"/>
        </w:rPr>
      </w:pPr>
      <w:r>
        <w:rPr>
          <w:rFonts w:ascii="Times New Roman" w:hAnsi="Times New Roman"/>
          <w:sz w:val="20"/>
          <w:szCs w:val="20"/>
        </w:rPr>
        <w:t>Case 1: at least one TCI codepoint in MACCE indicates two TCI states</w:t>
      </w:r>
      <w:r>
        <w:rPr>
          <w:rFonts w:hint="eastAsia" w:ascii="Times New Roman" w:hAnsi="Times New Roman"/>
          <w:sz w:val="20"/>
          <w:szCs w:val="20"/>
        </w:rPr>
        <w:t xml:space="preserve"> and </w:t>
      </w:r>
      <w:r>
        <w:rPr>
          <w:rFonts w:ascii="Times New Roman" w:hAnsi="Times New Roman"/>
          <w:i/>
          <w:sz w:val="20"/>
          <w:szCs w:val="20"/>
        </w:rPr>
        <w:t>enableTwoDefaultTCI</w:t>
      </w:r>
      <w:r>
        <w:rPr>
          <w:rFonts w:ascii="Times New Roman" w:hAnsi="Times New Roman"/>
          <w:i/>
          <w:sz w:val="20"/>
          <w:szCs w:val="20"/>
          <w:lang w:val="en-GB"/>
        </w:rPr>
        <w:t>-</w:t>
      </w:r>
      <w:r>
        <w:rPr>
          <w:rFonts w:ascii="Times New Roman" w:hAnsi="Times New Roman"/>
          <w:i/>
          <w:sz w:val="20"/>
          <w:szCs w:val="20"/>
        </w:rPr>
        <w:t>States</w:t>
      </w:r>
      <w:r>
        <w:rPr>
          <w:rFonts w:hint="eastAsia" w:ascii="Times New Roman" w:hAnsi="Times New Roman"/>
          <w:iCs/>
          <w:sz w:val="20"/>
          <w:szCs w:val="20"/>
        </w:rPr>
        <w:t xml:space="preserve"> is configured</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Rel-16, </w:t>
      </w:r>
      <w:r>
        <w:rPr>
          <w:rFonts w:hint="eastAsia" w:ascii="Times New Roman" w:hAnsi="Times New Roman"/>
          <w:sz w:val="20"/>
          <w:szCs w:val="20"/>
        </w:rPr>
        <w:t>when the slot offset between PDCCH and PDSCH is smaller than the threshold</w:t>
      </w:r>
      <w:r>
        <w:rPr>
          <w:rFonts w:ascii="Times New Roman" w:hAnsi="Times New Roman"/>
          <w:sz w:val="20"/>
          <w:szCs w:val="20"/>
        </w:rPr>
        <w:t>, i</w:t>
      </w:r>
      <w:r>
        <w:rPr>
          <w:rFonts w:hint="eastAsia" w:ascii="Times New Roman" w:hAnsi="Times New Roman"/>
          <w:sz w:val="20"/>
          <w:szCs w:val="20"/>
        </w:rPr>
        <w:t xml:space="preserve">f </w:t>
      </w:r>
      <w:r>
        <w:rPr>
          <w:rFonts w:ascii="Times New Roman" w:hAnsi="Times New Roman"/>
          <w:sz w:val="20"/>
          <w:szCs w:val="20"/>
        </w:rPr>
        <w:t xml:space="preserve">at least one TCI codepoint indicates two TCI states and </w:t>
      </w:r>
      <w:r>
        <w:rPr>
          <w:rFonts w:hint="eastAsia" w:ascii="Times New Roman" w:hAnsi="Times New Roman"/>
          <w:sz w:val="20"/>
          <w:szCs w:val="20"/>
        </w:rPr>
        <w:t xml:space="preserve">the higher layer </w:t>
      </w:r>
      <w:r>
        <w:rPr>
          <w:rFonts w:ascii="Times New Roman" w:hAnsi="Times New Roman"/>
          <w:sz w:val="20"/>
          <w:szCs w:val="20"/>
        </w:rPr>
        <w:t xml:space="preserve">parameter </w:t>
      </w:r>
      <w:r>
        <w:rPr>
          <w:rFonts w:ascii="Times New Roman" w:hAnsi="Times New Roman"/>
          <w:i/>
          <w:sz w:val="20"/>
          <w:szCs w:val="20"/>
        </w:rPr>
        <w:t>enableTwoDefaultTCI</w:t>
      </w:r>
      <w:r>
        <w:rPr>
          <w:rFonts w:ascii="Times New Roman" w:hAnsi="Times New Roman"/>
          <w:i/>
          <w:sz w:val="20"/>
          <w:szCs w:val="20"/>
          <w:lang w:val="en-GB"/>
        </w:rPr>
        <w:t>-</w:t>
      </w:r>
      <w:r>
        <w:rPr>
          <w:rFonts w:ascii="Times New Roman" w:hAnsi="Times New Roman"/>
          <w:i/>
          <w:sz w:val="20"/>
          <w:szCs w:val="20"/>
        </w:rPr>
        <w:t xml:space="preserve">States </w:t>
      </w:r>
      <w:r>
        <w:rPr>
          <w:rFonts w:ascii="Times New Roman" w:hAnsi="Times New Roman"/>
          <w:i w:val="0"/>
          <w:sz w:val="20"/>
          <w:szCs w:val="20"/>
        </w:rPr>
        <w:t>is configured</w:t>
      </w:r>
      <w:r>
        <w:rPr>
          <w:rFonts w:ascii="Times New Roman" w:hAnsi="Times New Roman"/>
          <w:sz w:val="20"/>
          <w:szCs w:val="20"/>
        </w:rPr>
        <w:t xml:space="preserve">, </w:t>
      </w:r>
      <w:r>
        <w:rPr>
          <w:rFonts w:hint="eastAsia" w:ascii="Times New Roman" w:hAnsi="Times New Roman"/>
          <w:sz w:val="20"/>
          <w:szCs w:val="20"/>
        </w:rPr>
        <w:t>the default TCI state</w:t>
      </w:r>
      <w:r>
        <w:rPr>
          <w:rFonts w:ascii="Times New Roman" w:hAnsi="Times New Roman"/>
          <w:sz w:val="20"/>
          <w:szCs w:val="20"/>
        </w:rPr>
        <w:t>s</w:t>
      </w:r>
      <w:r>
        <w:rPr>
          <w:rFonts w:hint="eastAsia" w:ascii="Times New Roman" w:hAnsi="Times New Roman"/>
          <w:sz w:val="20"/>
          <w:szCs w:val="20"/>
        </w:rPr>
        <w:t xml:space="preserve"> of PDSCH </w:t>
      </w:r>
      <w:r>
        <w:rPr>
          <w:rFonts w:ascii="Times New Roman" w:hAnsi="Times New Roman"/>
          <w:sz w:val="20"/>
          <w:szCs w:val="20"/>
        </w:rPr>
        <w:t xml:space="preserve">for Rel-16 MTRP </w:t>
      </w:r>
      <w:r>
        <w:rPr>
          <w:rFonts w:hint="eastAsia" w:ascii="Times New Roman" w:hAnsi="Times New Roman"/>
          <w:sz w:val="20"/>
          <w:szCs w:val="20"/>
        </w:rPr>
        <w:t xml:space="preserve">should be </w:t>
      </w:r>
      <w:r>
        <w:rPr>
          <w:rFonts w:ascii="Times New Roman" w:hAnsi="Times New Roman"/>
          <w:sz w:val="20"/>
          <w:szCs w:val="20"/>
        </w:rPr>
        <w:t>the TCI states contained in the lowest codepoint among the TCI codepoints containing two different TCI states.</w:t>
      </w:r>
      <w:r>
        <w:rPr>
          <w:rFonts w:hint="eastAsia" w:ascii="Times New Roman" w:hAnsi="Times New Roman"/>
          <w:sz w:val="20"/>
          <w:szCs w:val="20"/>
        </w:rPr>
        <w:t xml:space="preserve"> </w:t>
      </w:r>
      <w:r>
        <w:rPr>
          <w:rFonts w:ascii="Times New Roman" w:hAnsi="Times New Roman"/>
          <w:sz w:val="20"/>
          <w:szCs w:val="20"/>
        </w:rPr>
        <w:t xml:space="preserve">The </w:t>
      </w:r>
      <w:r>
        <w:rPr>
          <w:rFonts w:hint="eastAsia" w:ascii="Times New Roman" w:hAnsi="Times New Roman"/>
          <w:sz w:val="20"/>
          <w:szCs w:val="20"/>
        </w:rPr>
        <w:t>mapping</w:t>
      </w:r>
      <w:r>
        <w:rPr>
          <w:rFonts w:ascii="Times New Roman" w:hAnsi="Times New Roman"/>
          <w:sz w:val="20"/>
          <w:szCs w:val="20"/>
        </w:rPr>
        <w:t xml:space="preserve"> between two default TCI states and PDSCH transmission occasions depends on the specific MTRP schemes, e.g. TDMA, TDMB, etc.</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Rel-17, if SFN based MTRP transmission is used for PDSCH, </w:t>
      </w:r>
      <w:r>
        <w:rPr>
          <w:rFonts w:hint="eastAsia" w:ascii="Times New Roman" w:hAnsi="Times New Roman"/>
          <w:sz w:val="20"/>
          <w:szCs w:val="20"/>
        </w:rPr>
        <w:t xml:space="preserve">the two TCI states in the lowest codepoint </w:t>
      </w:r>
      <w:r>
        <w:rPr>
          <w:rFonts w:ascii="Times New Roman" w:hAnsi="Times New Roman"/>
          <w:sz w:val="20"/>
          <w:szCs w:val="20"/>
        </w:rPr>
        <w:t xml:space="preserve">containing two TCI states can still be used as default TCI states when </w:t>
      </w:r>
      <w:r>
        <w:rPr>
          <w:rFonts w:hint="eastAsia" w:ascii="Times New Roman" w:hAnsi="Times New Roman"/>
          <w:sz w:val="20"/>
          <w:szCs w:val="20"/>
        </w:rPr>
        <w:t>the slot offset between PDCCH and PDSCH is smaller than the threshold</w:t>
      </w:r>
      <w:r>
        <w:rPr>
          <w:rFonts w:ascii="Times New Roman" w:hAnsi="Times New Roman"/>
          <w:sz w:val="20"/>
          <w:szCs w:val="20"/>
        </w:rPr>
        <w:t xml:space="preserve">. That is, each DMRS port of PDSCH transmission should be associated with </w:t>
      </w:r>
      <w:r>
        <w:rPr>
          <w:rFonts w:hint="eastAsia" w:ascii="Times New Roman" w:hAnsi="Times New Roman"/>
          <w:sz w:val="20"/>
          <w:szCs w:val="20"/>
        </w:rPr>
        <w:t>the two TCI states in the lowest codepoint</w:t>
      </w:r>
      <w:r>
        <w:rPr>
          <w:rFonts w:ascii="Times New Roman" w:hAnsi="Times New Roman"/>
          <w:sz w:val="20"/>
          <w:szCs w:val="20"/>
        </w:rPr>
        <w:t xml:space="preserve"> among the TCI codepoints containing two different TCI states</w:t>
      </w:r>
      <w:r>
        <w:rPr>
          <w:rFonts w:hint="eastAsia" w:ascii="Times New Roman" w:hAnsi="Times New Roman"/>
          <w:sz w:val="20"/>
          <w:szCs w:val="20"/>
        </w:rPr>
        <w:t>, i.e. Alt 1 in agreement#5 should be supported. For Alt-2, new rules should be introduced, and the spec impact seems unnecessary compared with Alt-1.</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Furthermore, since t</w:t>
      </w:r>
      <w:r>
        <w:rPr>
          <w:rFonts w:hint="eastAsia" w:ascii="Times New Roman" w:hAnsi="Times New Roman"/>
          <w:sz w:val="20"/>
          <w:szCs w:val="20"/>
        </w:rPr>
        <w:t xml:space="preserve">he </w:t>
      </w:r>
      <w:bookmarkStart w:id="14" w:name="OLE_LINK9"/>
      <w:r>
        <w:rPr>
          <w:rFonts w:ascii="Times New Roman" w:hAnsi="Times New Roman"/>
          <w:sz w:val="20"/>
          <w:szCs w:val="20"/>
        </w:rPr>
        <w:t>dynamic switching between single TRP and SFN based MTRP</w:t>
      </w:r>
      <w:bookmarkEnd w:id="14"/>
      <w:r>
        <w:rPr>
          <w:rFonts w:hint="eastAsia" w:ascii="Times New Roman" w:hAnsi="Times New Roman"/>
          <w:sz w:val="20"/>
          <w:szCs w:val="20"/>
        </w:rPr>
        <w:t xml:space="preserve"> was agreed in RAN1#105 e-meeting</w:t>
      </w:r>
      <w:r>
        <w:rPr>
          <w:rFonts w:ascii="Times New Roman" w:hAnsi="Times New Roman"/>
          <w:sz w:val="20"/>
          <w:szCs w:val="20"/>
        </w:rPr>
        <w:t xml:space="preserve">, and if the real </w:t>
      </w:r>
      <w:r>
        <w:rPr>
          <w:rFonts w:hint="eastAsia" w:ascii="Times New Roman" w:hAnsi="Times New Roman"/>
          <w:sz w:val="20"/>
          <w:szCs w:val="20"/>
        </w:rPr>
        <w:t xml:space="preserve">PDSCH transmission </w:t>
      </w:r>
      <w:r>
        <w:rPr>
          <w:rFonts w:ascii="Times New Roman" w:hAnsi="Times New Roman"/>
          <w:sz w:val="20"/>
          <w:szCs w:val="20"/>
        </w:rPr>
        <w:t>is</w:t>
      </w:r>
      <w:r>
        <w:rPr>
          <w:rFonts w:hint="eastAsia" w:ascii="Times New Roman" w:hAnsi="Times New Roman"/>
          <w:sz w:val="20"/>
          <w:szCs w:val="20"/>
        </w:rPr>
        <w:t xml:space="preserve"> single TRP</w:t>
      </w:r>
      <w:r>
        <w:rPr>
          <w:rFonts w:ascii="Times New Roman" w:hAnsi="Times New Roman"/>
          <w:sz w:val="20"/>
          <w:szCs w:val="20"/>
        </w:rPr>
        <w:t xml:space="preserve"> scheduling rather than MTRP, it is better to use the first one of default TCI states for simplicity. </w:t>
      </w:r>
    </w:p>
    <w:p>
      <w:pPr>
        <w:snapToGrid w:val="0"/>
        <w:spacing w:before="0" w:beforeLines="-2147483648" w:after="0" w:afterLines="-2147483648"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5</w:t>
      </w:r>
      <w:r>
        <w:rPr>
          <w:rFonts w:ascii="Times New Roman" w:hAnsi="Times New Roman"/>
          <w:b/>
          <w:i/>
          <w:sz w:val="20"/>
          <w:szCs w:val="20"/>
        </w:rPr>
        <w:t>:</w:t>
      </w:r>
      <w:r>
        <w:rPr>
          <w:rFonts w:ascii="Times New Roman" w:hAnsi="Times New Roman"/>
          <w:i/>
          <w:sz w:val="20"/>
          <w:szCs w:val="20"/>
        </w:rPr>
        <w:t xml:space="preserve"> When </w:t>
      </w:r>
      <w:r>
        <w:rPr>
          <w:rFonts w:hint="eastAsia" w:ascii="Times New Roman" w:hAnsi="Times New Roman"/>
          <w:i/>
          <w:sz w:val="20"/>
          <w:szCs w:val="20"/>
        </w:rPr>
        <w:t xml:space="preserve">the slot offset between PDCCH and PDSCH is smaller than the threshold, </w:t>
      </w:r>
      <w:r>
        <w:rPr>
          <w:rFonts w:ascii="Times New Roman" w:hAnsi="Times New Roman"/>
          <w:i/>
          <w:sz w:val="20"/>
          <w:szCs w:val="20"/>
        </w:rPr>
        <w:t>if at least one TCI codepoint in MACCE contains two TCI states</w:t>
      </w:r>
      <w:r>
        <w:rPr>
          <w:rFonts w:hint="eastAsia" w:ascii="Times New Roman" w:hAnsi="Times New Roman"/>
          <w:sz w:val="20"/>
          <w:szCs w:val="20"/>
        </w:rPr>
        <w:t xml:space="preserve"> and </w:t>
      </w:r>
      <w:r>
        <w:rPr>
          <w:rFonts w:ascii="Times New Roman" w:hAnsi="Times New Roman"/>
          <w:i/>
          <w:sz w:val="20"/>
          <w:szCs w:val="20"/>
        </w:rPr>
        <w:t>enableTwoDefaultTCI</w:t>
      </w:r>
      <w:r>
        <w:rPr>
          <w:rFonts w:ascii="Times New Roman" w:hAnsi="Times New Roman"/>
          <w:i/>
          <w:sz w:val="20"/>
          <w:szCs w:val="20"/>
          <w:lang w:val="en-GB"/>
        </w:rPr>
        <w:t>-</w:t>
      </w:r>
      <w:r>
        <w:rPr>
          <w:rFonts w:ascii="Times New Roman" w:hAnsi="Times New Roman"/>
          <w:i/>
          <w:sz w:val="20"/>
          <w:szCs w:val="20"/>
        </w:rPr>
        <w:t>States</w:t>
      </w:r>
      <w:r>
        <w:rPr>
          <w:rFonts w:hint="eastAsia" w:ascii="Times New Roman" w:hAnsi="Times New Roman"/>
          <w:iCs/>
          <w:sz w:val="20"/>
          <w:szCs w:val="20"/>
        </w:rPr>
        <w:t xml:space="preserve"> is configured</w:t>
      </w:r>
    </w:p>
    <w:p>
      <w:pPr>
        <w:pStyle w:val="98"/>
        <w:numPr>
          <w:ilvl w:val="0"/>
          <w:numId w:val="14"/>
        </w:numPr>
        <w:tabs>
          <w:tab w:val="clear" w:pos="420"/>
        </w:tabs>
        <w:snapToGrid w:val="0"/>
        <w:spacing w:before="0" w:beforeLines="-2147483648" w:after="0" w:afterLines="-2147483648" w:line="240" w:lineRule="auto"/>
        <w:ind w:left="840" w:hanging="420"/>
        <w:jc w:val="both"/>
        <w:rPr>
          <w:rFonts w:ascii="Times" w:hAnsi="Times" w:cs="Times"/>
          <w:i/>
          <w:iCs/>
          <w:sz w:val="20"/>
          <w:szCs w:val="20"/>
        </w:rPr>
      </w:pPr>
      <w:r>
        <w:rPr>
          <w:rFonts w:ascii="Times" w:hAnsi="Times" w:cs="Times"/>
          <w:i/>
          <w:iCs/>
          <w:sz w:val="20"/>
          <w:szCs w:val="20"/>
        </w:rPr>
        <w:t xml:space="preserve">If SFN based MTRP transmission is used for PDSCH, </w:t>
      </w:r>
      <w:r>
        <w:rPr>
          <w:rFonts w:hint="eastAsia" w:ascii="Times" w:hAnsi="Times" w:eastAsia="宋体" w:cs="Times"/>
          <w:i/>
          <w:iCs/>
          <w:sz w:val="20"/>
          <w:szCs w:val="20"/>
        </w:rPr>
        <w:t xml:space="preserve">Alt-1 should be supported, i.e., </w:t>
      </w:r>
      <w:r>
        <w:rPr>
          <w:rFonts w:ascii="Times" w:hAnsi="Times" w:cs="Times"/>
          <w:i/>
          <w:iCs/>
          <w:sz w:val="20"/>
          <w:szCs w:val="20"/>
        </w:rPr>
        <w:t xml:space="preserve">each DMRS port of PDSCH should be associated with </w:t>
      </w:r>
      <w:r>
        <w:rPr>
          <w:rFonts w:hint="eastAsia" w:ascii="Times" w:hAnsi="Times" w:cs="Times"/>
          <w:i/>
          <w:iCs/>
          <w:sz w:val="20"/>
          <w:szCs w:val="20"/>
        </w:rPr>
        <w:t>the two TCI states in the lowest codepoint</w:t>
      </w:r>
      <w:r>
        <w:rPr>
          <w:rFonts w:ascii="Times" w:hAnsi="Times" w:cs="Times"/>
          <w:i/>
          <w:iCs/>
          <w:sz w:val="20"/>
          <w:szCs w:val="20"/>
        </w:rPr>
        <w:t xml:space="preserve"> among the TCI codepoints containing two different TCI states</w:t>
      </w:r>
      <w:r>
        <w:rPr>
          <w:rFonts w:hint="eastAsia" w:ascii="Times" w:hAnsi="Times" w:eastAsia="宋体" w:cs="Times"/>
          <w:i/>
          <w:iCs/>
          <w:sz w:val="20"/>
          <w:szCs w:val="20"/>
        </w:rPr>
        <w:t>.</w:t>
      </w:r>
    </w:p>
    <w:p>
      <w:pPr>
        <w:pStyle w:val="98"/>
        <w:numPr>
          <w:ilvl w:val="0"/>
          <w:numId w:val="14"/>
        </w:numPr>
        <w:tabs>
          <w:tab w:val="clear" w:pos="420"/>
        </w:tabs>
        <w:snapToGrid w:val="0"/>
        <w:spacing w:before="0" w:beforeLines="-2147483648" w:after="0" w:afterLines="-2147483648" w:line="240" w:lineRule="auto"/>
        <w:ind w:left="840" w:hanging="420"/>
        <w:jc w:val="both"/>
        <w:rPr>
          <w:rFonts w:ascii="Times" w:hAnsi="Times" w:cs="Times"/>
          <w:i/>
          <w:iCs/>
          <w:sz w:val="20"/>
          <w:szCs w:val="20"/>
        </w:rPr>
      </w:pPr>
      <w:r>
        <w:rPr>
          <w:rFonts w:ascii="Times" w:hAnsi="Times" w:eastAsia="宋体" w:cs="Times"/>
          <w:i/>
          <w:iCs/>
          <w:sz w:val="20"/>
          <w:szCs w:val="20"/>
        </w:rPr>
        <w:t>If</w:t>
      </w:r>
      <w:r>
        <w:rPr>
          <w:rFonts w:hint="eastAsia" w:ascii="Times" w:hAnsi="Times" w:eastAsia="宋体" w:cs="Times"/>
          <w:i/>
          <w:iCs/>
          <w:sz w:val="20"/>
          <w:szCs w:val="20"/>
        </w:rPr>
        <w:t xml:space="preserve"> </w:t>
      </w:r>
      <w:r>
        <w:rPr>
          <w:rFonts w:ascii="Times" w:hAnsi="Times" w:cs="Times"/>
          <w:i/>
          <w:iCs/>
          <w:sz w:val="20"/>
          <w:szCs w:val="20"/>
        </w:rPr>
        <w:t xml:space="preserve">single TRP transmission, is used, each DMRS port of PDSCH should be associated with the first one of </w:t>
      </w:r>
      <w:r>
        <w:rPr>
          <w:rFonts w:hint="eastAsia" w:ascii="Times" w:hAnsi="Times" w:cs="Times"/>
          <w:i/>
          <w:iCs/>
          <w:sz w:val="20"/>
          <w:szCs w:val="20"/>
        </w:rPr>
        <w:t>the two TCI states in the lowest codepoint</w:t>
      </w:r>
      <w:r>
        <w:rPr>
          <w:rFonts w:ascii="Times" w:hAnsi="Times" w:cs="Times"/>
          <w:i/>
          <w:iCs/>
          <w:sz w:val="20"/>
          <w:szCs w:val="20"/>
        </w:rPr>
        <w:t xml:space="preserve"> among the TCI codepoints containing two different TCI states.</w:t>
      </w:r>
    </w:p>
    <w:p>
      <w:pPr>
        <w:pStyle w:val="99"/>
        <w:numPr>
          <w:ilvl w:val="0"/>
          <w:numId w:val="13"/>
        </w:numPr>
        <w:snapToGrid w:val="0"/>
        <w:spacing w:before="180" w:beforeLines="50" w:after="180" w:afterLines="50" w:line="240" w:lineRule="auto"/>
        <w:ind w:firstLineChars="0"/>
        <w:jc w:val="both"/>
        <w:rPr>
          <w:rFonts w:ascii="Times New Roman" w:hAnsi="Times New Roman"/>
          <w:sz w:val="20"/>
          <w:szCs w:val="20"/>
        </w:rPr>
      </w:pPr>
      <w:r>
        <w:rPr>
          <w:rFonts w:ascii="Times New Roman" w:hAnsi="Times New Roman"/>
          <w:sz w:val="20"/>
          <w:szCs w:val="20"/>
        </w:rPr>
        <w:t xml:space="preserve">Case 2: </w:t>
      </w:r>
      <w:r>
        <w:rPr>
          <w:rFonts w:ascii="Times New Roman" w:hAnsi="Times New Roman"/>
          <w:i/>
          <w:sz w:val="20"/>
          <w:szCs w:val="20"/>
        </w:rPr>
        <w:t>enableTwoDefaultTCI</w:t>
      </w:r>
      <w:r>
        <w:rPr>
          <w:rFonts w:ascii="Times New Roman" w:hAnsi="Times New Roman"/>
          <w:i/>
          <w:sz w:val="20"/>
          <w:szCs w:val="20"/>
          <w:lang w:val="en-GB"/>
        </w:rPr>
        <w:t>-</w:t>
      </w:r>
      <w:r>
        <w:rPr>
          <w:rFonts w:ascii="Times New Roman" w:hAnsi="Times New Roman"/>
          <w:i/>
          <w:sz w:val="20"/>
          <w:szCs w:val="20"/>
        </w:rPr>
        <w:t>States</w:t>
      </w:r>
      <w:r>
        <w:rPr>
          <w:rFonts w:hint="eastAsia" w:ascii="Times New Roman" w:hAnsi="Times New Roman"/>
          <w:iCs/>
          <w:sz w:val="20"/>
          <w:szCs w:val="20"/>
        </w:rPr>
        <w:t xml:space="preserve"> is not configured</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n Rel-16</w:t>
      </w:r>
      <w:r>
        <w:rPr>
          <w:rFonts w:hint="eastAsia" w:ascii="Times New Roman" w:hAnsi="Times New Roman"/>
          <w:sz w:val="20"/>
          <w:szCs w:val="20"/>
        </w:rPr>
        <w:t xml:space="preserve">, if </w:t>
      </w:r>
      <w:r>
        <w:rPr>
          <w:rFonts w:ascii="Times New Roman" w:hAnsi="Times New Roman"/>
          <w:i/>
          <w:sz w:val="20"/>
          <w:szCs w:val="20"/>
        </w:rPr>
        <w:t>enableTwoDefaultTCI</w:t>
      </w:r>
      <w:r>
        <w:rPr>
          <w:rFonts w:ascii="Times New Roman" w:hAnsi="Times New Roman"/>
          <w:i/>
          <w:sz w:val="20"/>
          <w:szCs w:val="20"/>
          <w:lang w:val="en-GB"/>
        </w:rPr>
        <w:t>-</w:t>
      </w:r>
      <w:r>
        <w:rPr>
          <w:rFonts w:ascii="Times New Roman" w:hAnsi="Times New Roman"/>
          <w:i/>
          <w:sz w:val="20"/>
          <w:szCs w:val="20"/>
        </w:rPr>
        <w:t>States</w:t>
      </w:r>
      <w:r>
        <w:rPr>
          <w:rFonts w:hint="eastAsia" w:ascii="Times New Roman" w:hAnsi="Times New Roman"/>
          <w:i/>
          <w:sz w:val="20"/>
          <w:szCs w:val="20"/>
        </w:rPr>
        <w:t xml:space="preserve"> </w:t>
      </w:r>
      <w:r>
        <w:rPr>
          <w:rFonts w:hint="eastAsia" w:ascii="Times New Roman" w:hAnsi="Times New Roman"/>
          <w:iCs/>
          <w:sz w:val="20"/>
          <w:szCs w:val="20"/>
        </w:rPr>
        <w:t>is configured, the default QCL assumption is associated with the TCI state of the activated codepoint</w:t>
      </w:r>
      <w:r>
        <w:rPr>
          <w:rFonts w:ascii="Times New Roman" w:hAnsi="Times New Roman"/>
          <w:iCs/>
          <w:sz w:val="20"/>
          <w:szCs w:val="20"/>
        </w:rPr>
        <w:t>. But</w:t>
      </w:r>
      <w:r>
        <w:rPr>
          <w:rFonts w:hint="eastAsia" w:ascii="Times New Roman" w:hAnsi="Times New Roman"/>
          <w:iCs/>
          <w:sz w:val="20"/>
          <w:szCs w:val="20"/>
        </w:rPr>
        <w:t xml:space="preserve"> if </w:t>
      </w:r>
      <w:r>
        <w:rPr>
          <w:rFonts w:ascii="Times New Roman" w:hAnsi="Times New Roman"/>
          <w:i/>
          <w:sz w:val="20"/>
          <w:szCs w:val="20"/>
        </w:rPr>
        <w:t>enableTwoDefaultTCI</w:t>
      </w:r>
      <w:r>
        <w:rPr>
          <w:rFonts w:ascii="Times New Roman" w:hAnsi="Times New Roman"/>
          <w:i/>
          <w:sz w:val="20"/>
          <w:szCs w:val="20"/>
          <w:lang w:val="en-GB"/>
        </w:rPr>
        <w:t>-</w:t>
      </w:r>
      <w:r>
        <w:rPr>
          <w:rFonts w:ascii="Times New Roman" w:hAnsi="Times New Roman"/>
          <w:i/>
          <w:sz w:val="20"/>
          <w:szCs w:val="20"/>
        </w:rPr>
        <w:t>States</w:t>
      </w:r>
      <w:r>
        <w:rPr>
          <w:rFonts w:hint="eastAsia" w:ascii="Times New Roman" w:hAnsi="Times New Roman"/>
          <w:iCs/>
          <w:sz w:val="20"/>
          <w:szCs w:val="20"/>
        </w:rPr>
        <w:t xml:space="preserve"> is not configured, the default QCL assumption is associated with the TCI state of the CORESET with the lowest index in the latest slot.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H</w:t>
      </w:r>
      <w:r>
        <w:rPr>
          <w:rFonts w:ascii="Times New Roman" w:hAnsi="Times New Roman"/>
          <w:sz w:val="20"/>
          <w:szCs w:val="20"/>
        </w:rPr>
        <w:t xml:space="preserve">owever, </w:t>
      </w:r>
      <w:r>
        <w:rPr>
          <w:rFonts w:hint="eastAsia" w:ascii="Times New Roman" w:hAnsi="Times New Roman"/>
          <w:sz w:val="20"/>
          <w:szCs w:val="20"/>
        </w:rPr>
        <w:t>if two TCI states are activated for this CORESET</w:t>
      </w:r>
      <w:r>
        <w:rPr>
          <w:rFonts w:ascii="Times New Roman" w:hAnsi="Times New Roman"/>
          <w:sz w:val="20"/>
          <w:szCs w:val="20"/>
        </w:rPr>
        <w:t xml:space="preserve"> in Rel-17 SFN based PDCCH</w:t>
      </w:r>
      <w:r>
        <w:rPr>
          <w:rFonts w:hint="eastAsia" w:ascii="Times New Roman" w:hAnsi="Times New Roman"/>
          <w:sz w:val="20"/>
          <w:szCs w:val="20"/>
        </w:rPr>
        <w:t xml:space="preserve">, if </w:t>
      </w:r>
      <w:r>
        <w:rPr>
          <w:rFonts w:ascii="Times New Roman" w:hAnsi="Times New Roman"/>
          <w:sz w:val="20"/>
          <w:szCs w:val="20"/>
        </w:rPr>
        <w:t>UE</w:t>
      </w:r>
      <w:r>
        <w:rPr>
          <w:rFonts w:hint="eastAsia" w:ascii="Times New Roman" w:hAnsi="Times New Roman"/>
          <w:sz w:val="20"/>
          <w:szCs w:val="20"/>
        </w:rPr>
        <w:t xml:space="preserve"> supports </w:t>
      </w:r>
      <w:r>
        <w:rPr>
          <w:rFonts w:ascii="Times New Roman" w:hAnsi="Times New Roman"/>
          <w:sz w:val="20"/>
          <w:szCs w:val="20"/>
        </w:rPr>
        <w:t xml:space="preserve">the capability with </w:t>
      </w:r>
      <w:r>
        <w:rPr>
          <w:rFonts w:hint="eastAsia" w:ascii="Times New Roman" w:hAnsi="Times New Roman"/>
          <w:sz w:val="20"/>
          <w:szCs w:val="20"/>
        </w:rPr>
        <w:t xml:space="preserve">two default TCI states, the QCL assumptions </w:t>
      </w:r>
      <w:r>
        <w:rPr>
          <w:rFonts w:ascii="Times New Roman" w:hAnsi="Times New Roman"/>
          <w:sz w:val="20"/>
          <w:szCs w:val="20"/>
        </w:rPr>
        <w:t>can still be</w:t>
      </w:r>
      <w:r>
        <w:rPr>
          <w:rFonts w:hint="eastAsia" w:ascii="Times New Roman" w:hAnsi="Times New Roman"/>
          <w:sz w:val="20"/>
          <w:szCs w:val="20"/>
        </w:rPr>
        <w:t xml:space="preserve"> associated with the CORESET with the lowest index in the latest slot</w:t>
      </w:r>
      <w:r>
        <w:rPr>
          <w:rFonts w:ascii="Times New Roman" w:hAnsi="Times New Roman"/>
          <w:sz w:val="20"/>
          <w:szCs w:val="20"/>
        </w:rPr>
        <w:t xml:space="preserve"> following by Rel-15/16 rules no matter one or two TCI states are activated for the CORESET</w:t>
      </w:r>
      <w:r>
        <w:rPr>
          <w:rFonts w:hint="eastAsia" w:ascii="Times New Roman" w:hAnsi="Times New Roman"/>
          <w:sz w:val="20"/>
          <w:szCs w:val="20"/>
        </w:rPr>
        <w:t xml:space="preserve">, </w:t>
      </w:r>
      <w:r>
        <w:rPr>
          <w:rFonts w:ascii="Times New Roman" w:hAnsi="Times New Roman"/>
          <w:sz w:val="20"/>
          <w:szCs w:val="20"/>
        </w:rPr>
        <w:t>that is</w:t>
      </w:r>
      <w:r>
        <w:rPr>
          <w:rFonts w:hint="eastAsia" w:ascii="Times New Roman" w:hAnsi="Times New Roman"/>
          <w:sz w:val="20"/>
          <w:szCs w:val="20"/>
        </w:rPr>
        <w:t xml:space="preserve">, if two TCI states are activated for this CORESET, the QCL assumptions are associated with </w:t>
      </w:r>
      <w:r>
        <w:rPr>
          <w:rFonts w:ascii="Times New Roman" w:hAnsi="Times New Roman"/>
          <w:sz w:val="20"/>
          <w:szCs w:val="20"/>
        </w:rPr>
        <w:t>the</w:t>
      </w:r>
      <w:r>
        <w:rPr>
          <w:rFonts w:hint="eastAsia" w:ascii="Times New Roman" w:hAnsi="Times New Roman"/>
          <w:sz w:val="20"/>
          <w:szCs w:val="20"/>
        </w:rPr>
        <w:t xml:space="preserve"> two TCI states of this CORESET, if only one TCI state is activated for this CORESET, the QCL assumption is associated with th</w:t>
      </w:r>
      <w:r>
        <w:rPr>
          <w:rFonts w:ascii="Times New Roman" w:hAnsi="Times New Roman"/>
          <w:sz w:val="20"/>
          <w:szCs w:val="20"/>
        </w:rPr>
        <w:t>e</w:t>
      </w:r>
      <w:r>
        <w:rPr>
          <w:rFonts w:hint="eastAsia" w:ascii="Times New Roman" w:hAnsi="Times New Roman"/>
          <w:sz w:val="20"/>
          <w:szCs w:val="20"/>
        </w:rPr>
        <w:t xml:space="preserve"> TCI state of this CORESET.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If UE is not able to support two default TCI states, the default QCL assumption is associated to the CORESET with the lowest index in the latest slot if this CORESET activated with only one TCI state</w:t>
      </w:r>
      <w:r>
        <w:rPr>
          <w:rFonts w:ascii="Times New Roman" w:hAnsi="Times New Roman"/>
          <w:sz w:val="20"/>
          <w:szCs w:val="20"/>
        </w:rPr>
        <w:t xml:space="preserve">. </w:t>
      </w:r>
      <w:r>
        <w:rPr>
          <w:rFonts w:hint="eastAsia" w:ascii="Times New Roman" w:hAnsi="Times New Roman"/>
          <w:sz w:val="20"/>
          <w:szCs w:val="20"/>
        </w:rPr>
        <w:t>If this CORESET is activated with two TCI state</w:t>
      </w:r>
      <w:r>
        <w:rPr>
          <w:rFonts w:ascii="Times New Roman" w:hAnsi="Times New Roman"/>
          <w:sz w:val="20"/>
          <w:szCs w:val="20"/>
        </w:rPr>
        <w:t>, we think</w:t>
      </w:r>
      <w:r>
        <w:rPr>
          <w:rFonts w:hint="eastAsia" w:ascii="Times New Roman" w:hAnsi="Times New Roman"/>
          <w:sz w:val="20"/>
          <w:szCs w:val="20"/>
        </w:rPr>
        <w:t xml:space="preserve"> the first one of the two TCI states of the CORESET with the </w:t>
      </w:r>
      <w:r>
        <w:rPr>
          <w:rFonts w:ascii="Times New Roman" w:hAnsi="Times New Roman"/>
          <w:sz w:val="20"/>
          <w:szCs w:val="20"/>
        </w:rPr>
        <w:t>lowest</w:t>
      </w:r>
      <w:r>
        <w:rPr>
          <w:rFonts w:hint="eastAsia" w:ascii="Times New Roman" w:hAnsi="Times New Roman"/>
          <w:sz w:val="20"/>
          <w:szCs w:val="20"/>
        </w:rPr>
        <w:t xml:space="preserve"> index in the latest slot should be used as the default TCI state. </w:t>
      </w:r>
    </w:p>
    <w:p>
      <w:pPr>
        <w:snapToGrid w:val="0"/>
        <w:spacing w:after="0"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6</w:t>
      </w:r>
      <w:r>
        <w:rPr>
          <w:rFonts w:ascii="Times New Roman" w:hAnsi="Times New Roman"/>
          <w:b/>
          <w:i/>
          <w:sz w:val="20"/>
          <w:szCs w:val="20"/>
        </w:rPr>
        <w:t>:</w:t>
      </w:r>
      <w:r>
        <w:rPr>
          <w:rFonts w:ascii="Times New Roman" w:hAnsi="Times New Roman"/>
          <w:i/>
          <w:sz w:val="20"/>
          <w:szCs w:val="20"/>
        </w:rPr>
        <w:t xml:space="preserve"> When </w:t>
      </w:r>
      <w:r>
        <w:rPr>
          <w:rFonts w:hint="eastAsia" w:ascii="Times New Roman" w:hAnsi="Times New Roman"/>
          <w:i/>
          <w:sz w:val="20"/>
          <w:szCs w:val="20"/>
        </w:rPr>
        <w:t>the slot offset between PDCCH and PDSCH is smaller than the threshold</w:t>
      </w:r>
      <w:r>
        <w:rPr>
          <w:rFonts w:ascii="Times New Roman" w:hAnsi="Times New Roman"/>
          <w:i/>
          <w:sz w:val="20"/>
          <w:szCs w:val="20"/>
        </w:rPr>
        <w:t>, if</w:t>
      </w:r>
      <w:r>
        <w:rPr>
          <w:rFonts w:hint="eastAsia" w:ascii="Times New Roman" w:hAnsi="Times New Roman"/>
          <w:i/>
          <w:sz w:val="20"/>
          <w:szCs w:val="20"/>
        </w:rPr>
        <w:t xml:space="preserve"> </w:t>
      </w:r>
      <w:r>
        <w:rPr>
          <w:rFonts w:ascii="Times New Roman" w:hAnsi="Times New Roman"/>
          <w:i/>
          <w:sz w:val="20"/>
          <w:szCs w:val="20"/>
        </w:rPr>
        <w:t>enableTwoDefaultTCI</w:t>
      </w:r>
      <w:r>
        <w:rPr>
          <w:rFonts w:ascii="Times New Roman" w:hAnsi="Times New Roman"/>
          <w:i/>
          <w:sz w:val="20"/>
          <w:szCs w:val="20"/>
          <w:lang w:val="en-GB"/>
        </w:rPr>
        <w:t>-</w:t>
      </w:r>
      <w:r>
        <w:rPr>
          <w:rFonts w:ascii="Times New Roman" w:hAnsi="Times New Roman"/>
          <w:i/>
          <w:sz w:val="20"/>
          <w:szCs w:val="20"/>
        </w:rPr>
        <w:t>States</w:t>
      </w:r>
      <w:r>
        <w:rPr>
          <w:rFonts w:hint="eastAsia" w:ascii="Times New Roman" w:hAnsi="Times New Roman"/>
          <w:i/>
          <w:sz w:val="20"/>
          <w:szCs w:val="20"/>
        </w:rPr>
        <w:t xml:space="preserve"> is not configured</w:t>
      </w:r>
    </w:p>
    <w:p>
      <w:pPr>
        <w:pStyle w:val="98"/>
        <w:numPr>
          <w:ilvl w:val="0"/>
          <w:numId w:val="14"/>
        </w:numPr>
        <w:tabs>
          <w:tab w:val="clear" w:pos="420"/>
        </w:tabs>
        <w:snapToGrid w:val="0"/>
        <w:spacing w:after="0" w:line="240" w:lineRule="auto"/>
        <w:jc w:val="both"/>
        <w:rPr>
          <w:rFonts w:ascii="Times" w:hAnsi="Times" w:cs="Times"/>
          <w:i/>
          <w:iCs/>
          <w:sz w:val="20"/>
          <w:szCs w:val="20"/>
        </w:rPr>
      </w:pPr>
      <w:r>
        <w:rPr>
          <w:rFonts w:hint="eastAsia" w:ascii="Times" w:hAnsi="Times" w:cs="Times"/>
          <w:i/>
          <w:iCs/>
          <w:sz w:val="20"/>
          <w:szCs w:val="20"/>
        </w:rPr>
        <w:t xml:space="preserve">If </w:t>
      </w:r>
      <w:r>
        <w:rPr>
          <w:rFonts w:ascii="Times New Roman" w:hAnsi="Times New Roman"/>
          <w:i/>
          <w:sz w:val="20"/>
          <w:szCs w:val="20"/>
        </w:rPr>
        <w:t>UE supports the capability with two default TCI states</w:t>
      </w:r>
      <w:r>
        <w:rPr>
          <w:rFonts w:hint="eastAsia" w:ascii="Times" w:hAnsi="Times" w:cs="Times"/>
          <w:i/>
          <w:iCs/>
          <w:sz w:val="20"/>
          <w:szCs w:val="20"/>
        </w:rPr>
        <w:t>, each DMRS port of PDSCH should be associated with the TCI state(s) of the CORESET with lowest index in the latest slot</w:t>
      </w:r>
    </w:p>
    <w:p>
      <w:pPr>
        <w:pStyle w:val="98"/>
        <w:numPr>
          <w:ilvl w:val="0"/>
          <w:numId w:val="14"/>
        </w:numPr>
        <w:tabs>
          <w:tab w:val="clear" w:pos="420"/>
        </w:tabs>
        <w:snapToGrid w:val="0"/>
        <w:spacing w:after="0" w:line="240" w:lineRule="auto"/>
        <w:jc w:val="both"/>
        <w:rPr>
          <w:rFonts w:ascii="Times" w:hAnsi="Times" w:cs="Times"/>
          <w:i/>
          <w:iCs/>
          <w:sz w:val="20"/>
          <w:szCs w:val="20"/>
        </w:rPr>
      </w:pPr>
      <w:r>
        <w:rPr>
          <w:rFonts w:hint="eastAsia" w:ascii="Times" w:hAnsi="Times" w:cs="Times"/>
          <w:i/>
          <w:iCs/>
          <w:sz w:val="20"/>
          <w:szCs w:val="20"/>
        </w:rPr>
        <w:t xml:space="preserve">If </w:t>
      </w:r>
      <w:r>
        <w:rPr>
          <w:rFonts w:ascii="Times New Roman" w:hAnsi="Times New Roman"/>
          <w:i/>
          <w:sz w:val="20"/>
          <w:szCs w:val="20"/>
        </w:rPr>
        <w:t>UE</w:t>
      </w:r>
      <w:r>
        <w:rPr>
          <w:rFonts w:hint="eastAsia" w:ascii="Times New Roman" w:hAnsi="Times New Roman"/>
          <w:i/>
          <w:sz w:val="20"/>
          <w:szCs w:val="20"/>
        </w:rPr>
        <w:t xml:space="preserve"> </w:t>
      </w:r>
      <w:r>
        <w:rPr>
          <w:rFonts w:ascii="Times New Roman" w:hAnsi="Times New Roman"/>
          <w:i/>
          <w:sz w:val="20"/>
          <w:szCs w:val="20"/>
        </w:rPr>
        <w:t xml:space="preserve">does not </w:t>
      </w:r>
      <w:r>
        <w:rPr>
          <w:rFonts w:hint="eastAsia" w:ascii="Times New Roman" w:hAnsi="Times New Roman"/>
          <w:i/>
          <w:sz w:val="20"/>
          <w:szCs w:val="20"/>
        </w:rPr>
        <w:t xml:space="preserve">support </w:t>
      </w:r>
      <w:r>
        <w:rPr>
          <w:rFonts w:ascii="Times New Roman" w:hAnsi="Times New Roman"/>
          <w:i/>
          <w:sz w:val="20"/>
          <w:szCs w:val="20"/>
        </w:rPr>
        <w:t xml:space="preserve">the capability with </w:t>
      </w:r>
      <w:r>
        <w:rPr>
          <w:rFonts w:hint="eastAsia" w:ascii="Times New Roman" w:hAnsi="Times New Roman"/>
          <w:i/>
          <w:sz w:val="20"/>
          <w:szCs w:val="20"/>
        </w:rPr>
        <w:t>two default TCI states</w:t>
      </w:r>
      <w:r>
        <w:rPr>
          <w:rFonts w:hint="eastAsia" w:ascii="Times" w:hAnsi="Times" w:cs="Times"/>
          <w:i/>
          <w:iCs/>
          <w:sz w:val="20"/>
          <w:szCs w:val="20"/>
        </w:rPr>
        <w:t xml:space="preserve">, </w:t>
      </w:r>
      <w:r>
        <w:rPr>
          <w:rFonts w:ascii="Times" w:hAnsi="Times" w:cs="Times"/>
          <w:i/>
          <w:iCs/>
          <w:sz w:val="20"/>
          <w:szCs w:val="20"/>
        </w:rPr>
        <w:t xml:space="preserve">each DMRS port of PDSCH should be associated with </w:t>
      </w:r>
      <w:r>
        <w:rPr>
          <w:rFonts w:hint="eastAsia" w:ascii="Times" w:hAnsi="Times" w:cs="Times"/>
          <w:i/>
          <w:iCs/>
          <w:sz w:val="20"/>
          <w:szCs w:val="20"/>
        </w:rPr>
        <w:t>the first TCI state of th</w:t>
      </w:r>
      <w:r>
        <w:rPr>
          <w:rFonts w:hint="eastAsia" w:ascii="Times" w:hAnsi="Times" w:eastAsia="宋体" w:cs="Times"/>
          <w:i/>
          <w:iCs/>
          <w:sz w:val="20"/>
          <w:szCs w:val="20"/>
        </w:rPr>
        <w:t>is</w:t>
      </w:r>
      <w:r>
        <w:rPr>
          <w:rFonts w:hint="eastAsia" w:ascii="Times" w:hAnsi="Times" w:cs="Times"/>
          <w:i/>
          <w:iCs/>
          <w:sz w:val="20"/>
          <w:szCs w:val="20"/>
        </w:rPr>
        <w:t xml:space="preserve"> CORESET</w:t>
      </w:r>
      <w:r>
        <w:rPr>
          <w:rFonts w:ascii="Times" w:hAnsi="Times" w:cs="Times"/>
          <w:i/>
          <w:iCs/>
          <w:sz w:val="20"/>
          <w:szCs w:val="20"/>
        </w:rPr>
        <w:t>.</w:t>
      </w:r>
    </w:p>
    <w:p>
      <w:pPr>
        <w:pStyle w:val="99"/>
        <w:numPr>
          <w:ilvl w:val="0"/>
          <w:numId w:val="13"/>
        </w:numPr>
        <w:snapToGrid w:val="0"/>
        <w:spacing w:before="180" w:beforeLines="50" w:after="180" w:afterLines="50" w:line="240" w:lineRule="auto"/>
        <w:ind w:firstLineChars="0"/>
        <w:jc w:val="both"/>
        <w:rPr>
          <w:rFonts w:ascii="Times New Roman" w:hAnsi="Times New Roman"/>
          <w:sz w:val="20"/>
          <w:szCs w:val="20"/>
        </w:rPr>
      </w:pPr>
      <w:r>
        <w:rPr>
          <w:rFonts w:ascii="Times New Roman" w:hAnsi="Times New Roman"/>
          <w:sz w:val="20"/>
          <w:szCs w:val="20"/>
        </w:rPr>
        <w:t xml:space="preserve">Case 3: </w:t>
      </w:r>
      <w:r>
        <w:rPr>
          <w:rFonts w:ascii="Times New Roman" w:hAnsi="Times New Roman"/>
          <w:color w:val="000000"/>
          <w:sz w:val="20"/>
          <w:szCs w:val="20"/>
        </w:rPr>
        <w:t>DCI format not having the TCI field present</w:t>
      </w:r>
    </w:p>
    <w:p>
      <w:pPr>
        <w:snapToGrid w:val="0"/>
        <w:jc w:val="both"/>
        <w:rPr>
          <w:rFonts w:ascii="Times New Roman" w:hAnsi="Times New Roman"/>
          <w:color w:val="000000"/>
          <w:sz w:val="20"/>
          <w:szCs w:val="20"/>
        </w:rPr>
      </w:pPr>
      <w:r>
        <w:rPr>
          <w:rFonts w:ascii="Times New Roman" w:hAnsi="Times New Roman"/>
          <w:color w:val="000000"/>
          <w:sz w:val="20"/>
          <w:szCs w:val="20"/>
        </w:rPr>
        <w:t>In Rel-16, if the PDSCH is scheduled by a DCI format 1_1 or 1_2 which has no TCI field present,</w:t>
      </w:r>
      <w:r>
        <w:rPr>
          <w:rFonts w:hint="eastAsia" w:ascii="Times New Roman" w:hAnsi="Times New Roman"/>
          <w:color w:val="000000"/>
          <w:sz w:val="20"/>
          <w:szCs w:val="20"/>
        </w:rPr>
        <w:t xml:space="preserve"> </w:t>
      </w:r>
      <w:r>
        <w:rPr>
          <w:rFonts w:ascii="Times New Roman" w:hAnsi="Times New Roman"/>
          <w:color w:val="000000"/>
          <w:sz w:val="20"/>
          <w:szCs w:val="20"/>
        </w:rPr>
        <w:t>or</w:t>
      </w:r>
      <w:r>
        <w:rPr>
          <w:rFonts w:hint="eastAsia" w:ascii="Times New Roman" w:hAnsi="Times New Roman"/>
          <w:color w:val="000000"/>
          <w:sz w:val="20"/>
          <w:szCs w:val="20"/>
        </w:rPr>
        <w:t xml:space="preserve"> </w:t>
      </w:r>
      <w:r>
        <w:rPr>
          <w:rFonts w:ascii="Times New Roman" w:hAnsi="Times New Roman"/>
          <w:color w:val="000000"/>
          <w:sz w:val="20"/>
          <w:szCs w:val="20"/>
        </w:rPr>
        <w:t>scheduled by a D</w:t>
      </w:r>
      <w:r>
        <w:rPr>
          <w:rFonts w:hint="eastAsia" w:ascii="Times New Roman" w:hAnsi="Times New Roman"/>
          <w:color w:val="000000"/>
          <w:sz w:val="20"/>
          <w:szCs w:val="20"/>
        </w:rPr>
        <w:t xml:space="preserve">CI format 1_0, </w:t>
      </w:r>
      <w:r>
        <w:rPr>
          <w:rFonts w:ascii="Times New Roman" w:hAnsi="Times New Roman"/>
          <w:color w:val="000000"/>
          <w:sz w:val="20"/>
          <w:szCs w:val="20"/>
        </w:rPr>
        <w:t xml:space="preserve">the </w:t>
      </w:r>
      <w:r>
        <w:rPr>
          <w:rFonts w:ascii="Times New Roman" w:hAnsi="Times New Roman"/>
          <w:sz w:val="20"/>
          <w:szCs w:val="20"/>
        </w:rPr>
        <w:t>PDSCH should be single TRP scheduling</w:t>
      </w:r>
      <w:r>
        <w:rPr>
          <w:rFonts w:ascii="Times New Roman" w:hAnsi="Times New Roman"/>
          <w:color w:val="000000"/>
          <w:sz w:val="20"/>
          <w:szCs w:val="20"/>
        </w:rPr>
        <w:t xml:space="preserve">. For determining PDSCH antenna port quasi co-location, the UE assumes that the TCI state or the QCL assumption for the PDSCH is identical to the TCI state or QCL assumption of the CORESET used for the scheduling PDCCH transmission. </w:t>
      </w:r>
    </w:p>
    <w:p>
      <w:pPr>
        <w:snapToGrid w:val="0"/>
        <w:spacing w:before="200" w:line="240" w:lineRule="auto"/>
        <w:jc w:val="both"/>
        <w:rPr>
          <w:rFonts w:ascii="Times New Roman" w:hAnsi="Times New Roman"/>
          <w:color w:val="000000"/>
          <w:sz w:val="20"/>
          <w:szCs w:val="20"/>
        </w:rPr>
      </w:pPr>
      <w:r>
        <w:rPr>
          <w:rFonts w:hint="eastAsia" w:ascii="Times New Roman" w:hAnsi="Times New Roman"/>
          <w:color w:val="000000"/>
          <w:sz w:val="20"/>
          <w:szCs w:val="20"/>
        </w:rPr>
        <w:t>I</w:t>
      </w:r>
      <w:r>
        <w:rPr>
          <w:rFonts w:ascii="Times New Roman" w:hAnsi="Times New Roman"/>
          <w:color w:val="000000"/>
          <w:sz w:val="20"/>
          <w:szCs w:val="20"/>
        </w:rPr>
        <w:t xml:space="preserve">n Rel-17, if two TCI states are activated for the scheduling PDCCH using SFN, it is also natural to use the first one of two activated TCI states of the scheduling PDCCH. </w:t>
      </w:r>
    </w:p>
    <w:p>
      <w:pPr>
        <w:snapToGrid w:val="0"/>
        <w:spacing w:before="200" w:line="240" w:lineRule="auto"/>
        <w:jc w:val="both"/>
        <w:rPr>
          <w:rFonts w:ascii="Times New Roman" w:hAnsi="Times New Roman"/>
          <w:sz w:val="20"/>
          <w:szCs w:val="20"/>
        </w:rPr>
      </w:pPr>
      <w:bookmarkStart w:id="15" w:name="OLE_LINK5"/>
      <w:r>
        <w:rPr>
          <w:rFonts w:hint="eastAsia" w:ascii="Times New Roman" w:hAnsi="Times New Roman"/>
          <w:b/>
          <w:bCs/>
          <w:i/>
          <w:iCs/>
          <w:sz w:val="20"/>
          <w:szCs w:val="20"/>
        </w:rPr>
        <w:t>Proposal 7:</w:t>
      </w:r>
      <w:bookmarkEnd w:id="15"/>
      <w:r>
        <w:rPr>
          <w:rFonts w:hint="eastAsia" w:ascii="Times New Roman" w:hAnsi="Times New Roman"/>
          <w:b/>
          <w:bCs/>
          <w:i/>
          <w:iCs/>
          <w:sz w:val="20"/>
          <w:szCs w:val="20"/>
        </w:rPr>
        <w:t xml:space="preserve"> </w:t>
      </w:r>
      <w:r>
        <w:rPr>
          <w:rFonts w:ascii="Times New Roman" w:hAnsi="Times New Roman"/>
          <w:i/>
          <w:iCs/>
          <w:sz w:val="20"/>
          <w:szCs w:val="20"/>
        </w:rPr>
        <w:t xml:space="preserve">If PDSCH is scheduled by a SFN mannered PDCCH without TCI field present, </w:t>
      </w:r>
      <w:r>
        <w:rPr>
          <w:rFonts w:ascii="Times New Roman" w:hAnsi="Times New Roman"/>
          <w:i/>
          <w:color w:val="000000"/>
          <w:sz w:val="20"/>
          <w:szCs w:val="20"/>
        </w:rPr>
        <w:t>the UE assumes that the TCI state of the PDSCH is identical to the first one of two activated TCI states of the PDCCH.</w:t>
      </w:r>
    </w:p>
    <w:p>
      <w:pPr>
        <w:pStyle w:val="4"/>
        <w:numPr>
          <w:ilvl w:val="0"/>
          <w:numId w:val="0"/>
        </w:numPr>
        <w:snapToGrid w:val="0"/>
        <w:spacing w:before="180" w:beforeLines="50" w:after="180" w:afterLines="50" w:line="240" w:lineRule="auto"/>
        <w:jc w:val="both"/>
        <w:rPr>
          <w:rFonts w:ascii="Times New Roman" w:hAnsi="Times New Roman"/>
          <w:sz w:val="24"/>
          <w:szCs w:val="24"/>
          <w:lang w:val="en-US"/>
        </w:rPr>
      </w:pPr>
      <w:r>
        <w:rPr>
          <w:rFonts w:ascii="Times New Roman" w:hAnsi="Times New Roman"/>
          <w:sz w:val="24"/>
          <w:szCs w:val="24"/>
          <w:lang w:val="en-US"/>
        </w:rPr>
        <w:t>2.2.2 For AP CSI-RS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Rel-16</w:t>
      </w:r>
      <w:r>
        <w:rPr>
          <w:rFonts w:hint="eastAsia" w:ascii="Times New Roman" w:hAnsi="Times New Roman"/>
          <w:sz w:val="20"/>
          <w:szCs w:val="20"/>
        </w:rPr>
        <w:t xml:space="preserve"> </w:t>
      </w:r>
      <w:r>
        <w:rPr>
          <w:rFonts w:ascii="Times New Roman" w:hAnsi="Times New Roman"/>
          <w:sz w:val="20"/>
          <w:szCs w:val="20"/>
        </w:rPr>
        <w:t>for AP CSI-RS transmission, when the slot offset between PDCCH and AP CSI-RS is smaller than the threshold, if UE is not able to support Rel-16 default beam feature, and</w:t>
      </w:r>
      <w:r>
        <w:rPr>
          <w:rFonts w:hint="eastAsia" w:ascii="Times New Roman" w:hAnsi="Times New Roman"/>
          <w:sz w:val="20"/>
          <w:szCs w:val="20"/>
        </w:rPr>
        <w:t xml:space="preserve"> </w:t>
      </w:r>
      <w:r>
        <w:rPr>
          <w:rFonts w:ascii="Times New Roman" w:hAnsi="Times New Roman"/>
          <w:sz w:val="20"/>
          <w:szCs w:val="20"/>
        </w:rPr>
        <w:t xml:space="preserve">without RRC parameter </w:t>
      </w:r>
      <w:r>
        <w:rPr>
          <w:rFonts w:ascii="Times New Roman" w:hAnsi="Times New Roman"/>
          <w:i/>
          <w:iCs/>
          <w:sz w:val="20"/>
          <w:szCs w:val="20"/>
        </w:rPr>
        <w:t>enableDefaultTCIStatePerCoresetPoolIndex</w:t>
      </w:r>
      <w:r>
        <w:rPr>
          <w:rFonts w:ascii="Times New Roman" w:hAnsi="Times New Roman"/>
          <w:sz w:val="20"/>
          <w:szCs w:val="20"/>
        </w:rPr>
        <w:t xml:space="preserve"> or </w:t>
      </w:r>
      <w:r>
        <w:rPr>
          <w:rFonts w:ascii="Times New Roman" w:hAnsi="Times New Roman"/>
          <w:i/>
          <w:iCs/>
          <w:sz w:val="20"/>
          <w:szCs w:val="20"/>
        </w:rPr>
        <w:t>enableTwoDefaultTCIStates</w:t>
      </w:r>
      <w:r>
        <w:rPr>
          <w:rFonts w:ascii="Times New Roman" w:hAnsi="Times New Roman"/>
          <w:iCs/>
          <w:sz w:val="20"/>
          <w:szCs w:val="20"/>
        </w:rPr>
        <w:t xml:space="preserve">, the default TCI principle is the same as Rel-15, that is </w:t>
      </w:r>
    </w:p>
    <w:p>
      <w:pPr>
        <w:numPr>
          <w:ilvl w:val="0"/>
          <w:numId w:val="1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If there is no other </w:t>
      </w:r>
      <w:r>
        <w:rPr>
          <w:rFonts w:ascii="Times New Roman" w:hAnsi="Times New Roman"/>
          <w:sz w:val="20"/>
          <w:szCs w:val="20"/>
        </w:rPr>
        <w:t>signal</w:t>
      </w:r>
      <w:r>
        <w:rPr>
          <w:rFonts w:hint="eastAsia" w:ascii="Times New Roman" w:hAnsi="Times New Roman"/>
          <w:sz w:val="20"/>
          <w:szCs w:val="20"/>
        </w:rPr>
        <w:t xml:space="preserve"> on the symbol with</w:t>
      </w:r>
      <w:r>
        <w:rPr>
          <w:rFonts w:ascii="Times New Roman" w:hAnsi="Times New Roman"/>
          <w:sz w:val="20"/>
          <w:szCs w:val="20"/>
        </w:rPr>
        <w:t xml:space="preserve"> the</w:t>
      </w:r>
      <w:r>
        <w:rPr>
          <w:rFonts w:hint="eastAsia" w:ascii="Times New Roman" w:hAnsi="Times New Roman"/>
          <w:sz w:val="20"/>
          <w:szCs w:val="20"/>
        </w:rPr>
        <w:t xml:space="preserve"> AP CSI-RS, the default TCI </w:t>
      </w:r>
      <w:r>
        <w:rPr>
          <w:rFonts w:ascii="Times New Roman" w:hAnsi="Times New Roman"/>
          <w:sz w:val="20"/>
          <w:szCs w:val="20"/>
        </w:rPr>
        <w:t xml:space="preserve">of the AP CSI-RS </w:t>
      </w:r>
      <w:r>
        <w:rPr>
          <w:rFonts w:hint="eastAsia" w:ascii="Times New Roman" w:hAnsi="Times New Roman"/>
          <w:sz w:val="20"/>
          <w:szCs w:val="20"/>
        </w:rPr>
        <w:t>is the</w:t>
      </w:r>
      <w:r>
        <w:rPr>
          <w:sz w:val="20"/>
          <w:szCs w:val="20"/>
        </w:rPr>
        <w:t xml:space="preserve"> </w:t>
      </w:r>
      <w:r>
        <w:rPr>
          <w:rFonts w:hint="eastAsia" w:ascii="Times New Roman" w:hAnsi="Times New Roman"/>
          <w:sz w:val="20"/>
          <w:szCs w:val="20"/>
        </w:rPr>
        <w:t>TCI state</w:t>
      </w:r>
      <w:r>
        <w:rPr>
          <w:rFonts w:ascii="Times New Roman" w:hAnsi="Times New Roman"/>
          <w:sz w:val="20"/>
          <w:szCs w:val="20"/>
        </w:rPr>
        <w:t xml:space="preserve"> used for the CORESET with the lowest index in the latest slot</w:t>
      </w:r>
      <w:r>
        <w:rPr>
          <w:rFonts w:hint="eastAsia" w:ascii="Times New Roman" w:hAnsi="Times New Roman"/>
          <w:sz w:val="20"/>
          <w:szCs w:val="20"/>
        </w:rPr>
        <w:t xml:space="preserve">. </w:t>
      </w:r>
    </w:p>
    <w:p>
      <w:pPr>
        <w:numPr>
          <w:ilvl w:val="0"/>
          <w:numId w:val="15"/>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If there is other signal on the same symbol with the </w:t>
      </w:r>
      <w:r>
        <w:rPr>
          <w:rFonts w:hint="eastAsia" w:ascii="Times New Roman" w:hAnsi="Times New Roman"/>
          <w:sz w:val="20"/>
          <w:szCs w:val="20"/>
        </w:rPr>
        <w:t xml:space="preserve">AP </w:t>
      </w:r>
      <w:r>
        <w:rPr>
          <w:rFonts w:ascii="Times New Roman" w:hAnsi="Times New Roman"/>
          <w:sz w:val="20"/>
          <w:szCs w:val="20"/>
        </w:rPr>
        <w:t xml:space="preserve">CSI-RS, </w:t>
      </w:r>
      <w:r>
        <w:rPr>
          <w:rFonts w:hint="eastAsia" w:ascii="Times New Roman" w:hAnsi="Times New Roman"/>
          <w:sz w:val="20"/>
          <w:szCs w:val="20"/>
        </w:rPr>
        <w:t xml:space="preserve">the default TCI </w:t>
      </w:r>
      <w:r>
        <w:rPr>
          <w:rFonts w:ascii="Times New Roman" w:hAnsi="Times New Roman"/>
          <w:sz w:val="20"/>
          <w:szCs w:val="20"/>
        </w:rPr>
        <w:t>of the AP CSI-RS follows the other signal.</w:t>
      </w:r>
      <w:r>
        <w:rPr>
          <w:rFonts w:hint="eastAsia" w:ascii="Times New Roman" w:hAnsi="Times New Roman"/>
          <w:sz w:val="20"/>
          <w:szCs w:val="20"/>
        </w:rPr>
        <w:t xml:space="preserve"> </w:t>
      </w:r>
    </w:p>
    <w:p>
      <w:pPr>
        <w:tabs>
          <w:tab w:val="left" w:pos="420"/>
        </w:tabs>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Rel-17, c</w:t>
      </w:r>
      <w:r>
        <w:rPr>
          <w:rFonts w:hint="eastAsia" w:ascii="Times New Roman" w:hAnsi="Times New Roman"/>
          <w:sz w:val="20"/>
          <w:szCs w:val="20"/>
        </w:rPr>
        <w:t xml:space="preserve">onsidering the SFN based PDCCH, two TCI states </w:t>
      </w:r>
      <w:r>
        <w:rPr>
          <w:rFonts w:ascii="Times New Roman" w:hAnsi="Times New Roman"/>
          <w:sz w:val="20"/>
          <w:szCs w:val="20"/>
        </w:rPr>
        <w:t>may be</w:t>
      </w:r>
      <w:r>
        <w:rPr>
          <w:rFonts w:hint="eastAsia" w:ascii="Times New Roman" w:hAnsi="Times New Roman"/>
          <w:sz w:val="20"/>
          <w:szCs w:val="20"/>
        </w:rPr>
        <w:t xml:space="preserve"> activated by MAC CE</w:t>
      </w:r>
      <w:r>
        <w:rPr>
          <w:rFonts w:ascii="Times New Roman" w:hAnsi="Times New Roman"/>
          <w:sz w:val="20"/>
          <w:szCs w:val="20"/>
        </w:rPr>
        <w:t xml:space="preserve"> for the CORESET with lowest index</w:t>
      </w:r>
      <w:r>
        <w:rPr>
          <w:rFonts w:hint="eastAsia" w:ascii="Times New Roman" w:hAnsi="Times New Roman"/>
          <w:sz w:val="20"/>
          <w:szCs w:val="20"/>
        </w:rPr>
        <w:t xml:space="preserve">, so </w:t>
      </w:r>
      <w:r>
        <w:rPr>
          <w:rFonts w:ascii="Times New Roman" w:hAnsi="Times New Roman"/>
          <w:sz w:val="20"/>
          <w:szCs w:val="20"/>
        </w:rPr>
        <w:t xml:space="preserve">it should be discussed </w:t>
      </w:r>
      <w:r>
        <w:rPr>
          <w:rFonts w:hint="eastAsia" w:ascii="Times New Roman" w:hAnsi="Times New Roman"/>
          <w:sz w:val="20"/>
          <w:szCs w:val="20"/>
        </w:rPr>
        <w:t>which one of the</w:t>
      </w:r>
      <w:r>
        <w:rPr>
          <w:rFonts w:ascii="Times New Roman" w:hAnsi="Times New Roman"/>
          <w:sz w:val="20"/>
          <w:szCs w:val="20"/>
        </w:rPr>
        <w:t>se</w:t>
      </w:r>
      <w:r>
        <w:rPr>
          <w:rFonts w:hint="eastAsia" w:ascii="Times New Roman" w:hAnsi="Times New Roman"/>
          <w:sz w:val="20"/>
          <w:szCs w:val="20"/>
        </w:rPr>
        <w:t xml:space="preserve"> two TCI state</w:t>
      </w:r>
      <w:r>
        <w:rPr>
          <w:rFonts w:ascii="Times New Roman" w:hAnsi="Times New Roman"/>
          <w:sz w:val="20"/>
          <w:szCs w:val="20"/>
        </w:rPr>
        <w:t>s</w:t>
      </w:r>
      <w:r>
        <w:rPr>
          <w:rFonts w:hint="eastAsia" w:ascii="Times New Roman" w:hAnsi="Times New Roman"/>
          <w:sz w:val="20"/>
          <w:szCs w:val="20"/>
        </w:rPr>
        <w:t xml:space="preserve"> </w:t>
      </w:r>
      <w:r>
        <w:rPr>
          <w:rFonts w:ascii="Times New Roman" w:hAnsi="Times New Roman"/>
          <w:sz w:val="20"/>
          <w:szCs w:val="20"/>
        </w:rPr>
        <w:t>being used</w:t>
      </w:r>
      <w:r>
        <w:rPr>
          <w:rFonts w:hint="eastAsia" w:ascii="Times New Roman" w:hAnsi="Times New Roman"/>
          <w:sz w:val="20"/>
          <w:szCs w:val="20"/>
        </w:rPr>
        <w:t xml:space="preserve"> as the default TCI state of AP CSI-RS. </w:t>
      </w:r>
      <w:r>
        <w:rPr>
          <w:rFonts w:ascii="Times New Roman" w:hAnsi="Times New Roman"/>
          <w:sz w:val="20"/>
          <w:szCs w:val="20"/>
        </w:rPr>
        <w:t>Naturally</w:t>
      </w:r>
      <w:r>
        <w:rPr>
          <w:rFonts w:hint="eastAsia" w:ascii="Times New Roman" w:hAnsi="Times New Roman"/>
          <w:sz w:val="20"/>
          <w:szCs w:val="20"/>
        </w:rPr>
        <w:t xml:space="preserve">, the first one of the </w:t>
      </w:r>
      <w:r>
        <w:rPr>
          <w:rFonts w:ascii="Times New Roman" w:hAnsi="Times New Roman"/>
          <w:sz w:val="20"/>
          <w:szCs w:val="20"/>
        </w:rPr>
        <w:t xml:space="preserve">two </w:t>
      </w:r>
      <w:r>
        <w:rPr>
          <w:rFonts w:hint="eastAsia" w:ascii="Times New Roman" w:hAnsi="Times New Roman"/>
          <w:sz w:val="20"/>
          <w:szCs w:val="20"/>
        </w:rPr>
        <w:t>TCI states should be used as the default TCI states</w:t>
      </w:r>
      <w:r>
        <w:rPr>
          <w:rFonts w:ascii="Times New Roman" w:hAnsi="Times New Roman"/>
          <w:sz w:val="20"/>
          <w:szCs w:val="20"/>
        </w:rPr>
        <w:t xml:space="preserve"> when there is no other signal </w:t>
      </w:r>
      <w:r>
        <w:rPr>
          <w:rFonts w:hint="eastAsia" w:ascii="Times New Roman" w:hAnsi="Times New Roman"/>
          <w:sz w:val="20"/>
          <w:szCs w:val="20"/>
        </w:rPr>
        <w:t xml:space="preserve">on </w:t>
      </w:r>
      <w:r>
        <w:rPr>
          <w:rFonts w:ascii="Times New Roman" w:hAnsi="Times New Roman"/>
          <w:sz w:val="20"/>
          <w:szCs w:val="20"/>
        </w:rPr>
        <w:t>the same symbol with the AP CSI-RS.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When there are other signals, e.g. SFN based PDSCH, a similar issue appears, and it is natural to use the first TCI state of the other signal as well.</w:t>
      </w:r>
      <w:bookmarkStart w:id="16" w:name="OLE_LINK18"/>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I</w:t>
      </w:r>
      <w:r>
        <w:rPr>
          <w:rFonts w:ascii="Times New Roman" w:hAnsi="Times New Roman"/>
          <w:iCs/>
          <w:sz w:val="20"/>
          <w:szCs w:val="20"/>
        </w:rPr>
        <w:t xml:space="preserve">f UE is able to support Rel-16 default beam feature, the Rel-16 principle can be reused where the first one of the two TCI states in the lowest TCI codepoint or the first TCI state of other signal is used as AP CSI-RS default beam. There seems no need to be enhanced. </w:t>
      </w:r>
    </w:p>
    <w:p>
      <w:pPr>
        <w:snapToGrid w:val="0"/>
        <w:spacing w:before="0" w:beforeLines="-2147483648" w:after="0" w:afterLines="-2147483648" w:line="240" w:lineRule="auto"/>
        <w:jc w:val="both"/>
        <w:rPr>
          <w:rFonts w:ascii="Times New Roman" w:hAnsi="Times New Roman"/>
          <w:i/>
          <w:iCs/>
          <w:sz w:val="20"/>
          <w:szCs w:val="20"/>
        </w:rPr>
      </w:pPr>
      <w:bookmarkStart w:id="17" w:name="OLE_LINK4"/>
      <w:bookmarkStart w:id="18" w:name="OLE_LINK17"/>
      <w:r>
        <w:rPr>
          <w:rFonts w:hint="eastAsia" w:ascii="Times New Roman" w:hAnsi="Times New Roman"/>
          <w:b/>
          <w:bCs/>
          <w:i/>
          <w:iCs/>
          <w:sz w:val="20"/>
          <w:szCs w:val="20"/>
        </w:rPr>
        <w:t>Proposal 8:</w:t>
      </w:r>
      <w:r>
        <w:rPr>
          <w:rFonts w:ascii="Times New Roman" w:hAnsi="Times New Roman"/>
          <w:b/>
          <w:bCs/>
          <w:i/>
          <w:iCs/>
          <w:sz w:val="20"/>
          <w:szCs w:val="20"/>
        </w:rPr>
        <w:t xml:space="preserve"> </w:t>
      </w:r>
      <w:bookmarkEnd w:id="17"/>
      <w:r>
        <w:rPr>
          <w:rFonts w:ascii="Times New Roman" w:hAnsi="Times New Roman"/>
          <w:i/>
          <w:sz w:val="20"/>
          <w:szCs w:val="20"/>
        </w:rPr>
        <w:t>When the slot offset between PDCCH and aperiodic CSI-RS is smaller than the threshold,</w:t>
      </w:r>
      <w:r>
        <w:rPr>
          <w:rFonts w:ascii="Times New Roman" w:hAnsi="Times New Roman"/>
          <w:iCs/>
          <w:sz w:val="20"/>
          <w:szCs w:val="20"/>
        </w:rPr>
        <w:t xml:space="preserve"> </w:t>
      </w:r>
      <w:r>
        <w:rPr>
          <w:rFonts w:ascii="Times New Roman" w:hAnsi="Times New Roman"/>
          <w:i/>
          <w:sz w:val="20"/>
          <w:szCs w:val="20"/>
        </w:rPr>
        <w:t xml:space="preserve">and </w:t>
      </w:r>
    </w:p>
    <w:p>
      <w:pPr>
        <w:pStyle w:val="99"/>
        <w:numPr>
          <w:ilvl w:val="1"/>
          <w:numId w:val="16"/>
        </w:numPr>
        <w:snapToGrid w:val="0"/>
        <w:spacing w:before="0" w:beforeLines="-2147483648" w:after="0" w:afterLines="-2147483648" w:line="240" w:lineRule="auto"/>
        <w:ind w:left="840" w:hanging="420" w:firstLineChars="0"/>
        <w:jc w:val="both"/>
        <w:rPr>
          <w:rFonts w:ascii="Times New Roman" w:hAnsi="Times New Roman"/>
          <w:iCs/>
          <w:sz w:val="20"/>
          <w:szCs w:val="20"/>
        </w:rPr>
      </w:pPr>
      <w:r>
        <w:rPr>
          <w:rFonts w:ascii="Times New Roman" w:hAnsi="Times New Roman"/>
          <w:i/>
          <w:sz w:val="20"/>
          <w:szCs w:val="20"/>
        </w:rPr>
        <w:t xml:space="preserve">If UE is not able to support Rel-16 default beam feature, </w:t>
      </w:r>
    </w:p>
    <w:p>
      <w:pPr>
        <w:pStyle w:val="99"/>
        <w:numPr>
          <w:ilvl w:val="0"/>
          <w:numId w:val="10"/>
        </w:numPr>
        <w:snapToGrid w:val="0"/>
        <w:spacing w:before="0" w:beforeLines="-2147483648" w:after="0" w:afterLines="-2147483648" w:line="240" w:lineRule="auto"/>
        <w:ind w:left="1140" w:hanging="420" w:firstLineChars="0"/>
        <w:jc w:val="both"/>
        <w:rPr>
          <w:rFonts w:ascii="Times New Roman" w:hAnsi="Times New Roman"/>
          <w:i/>
          <w:iCs/>
          <w:sz w:val="20"/>
          <w:szCs w:val="20"/>
        </w:rPr>
      </w:pPr>
      <w:r>
        <w:rPr>
          <w:rFonts w:hint="eastAsia" w:ascii="Times New Roman" w:hAnsi="Times New Roman"/>
          <w:i/>
          <w:sz w:val="20"/>
          <w:szCs w:val="20"/>
        </w:rPr>
        <w:t xml:space="preserve">If there is no other </w:t>
      </w:r>
      <w:r>
        <w:rPr>
          <w:rFonts w:ascii="Times New Roman" w:hAnsi="Times New Roman"/>
          <w:i/>
          <w:sz w:val="20"/>
          <w:szCs w:val="20"/>
        </w:rPr>
        <w:t>signal</w:t>
      </w:r>
      <w:r>
        <w:rPr>
          <w:rFonts w:hint="eastAsia" w:ascii="Times New Roman" w:hAnsi="Times New Roman"/>
          <w:i/>
          <w:sz w:val="20"/>
          <w:szCs w:val="20"/>
        </w:rPr>
        <w:t xml:space="preserve"> on the symbol with aperiodic CSI-RS,</w:t>
      </w:r>
      <w:r>
        <w:rPr>
          <w:rFonts w:ascii="Times New Roman" w:hAnsi="Times New Roman"/>
          <w:i/>
          <w:sz w:val="20"/>
          <w:szCs w:val="20"/>
        </w:rPr>
        <w:t xml:space="preserve"> </w:t>
      </w:r>
      <w:r>
        <w:rPr>
          <w:rFonts w:hint="eastAsia" w:ascii="Times New Roman" w:hAnsi="Times New Roman"/>
          <w:i/>
          <w:sz w:val="20"/>
          <w:szCs w:val="20"/>
        </w:rPr>
        <w:t xml:space="preserve">the first one of the </w:t>
      </w:r>
      <w:r>
        <w:rPr>
          <w:rFonts w:ascii="Times New Roman" w:hAnsi="Times New Roman"/>
          <w:i/>
          <w:sz w:val="20"/>
          <w:szCs w:val="20"/>
        </w:rPr>
        <w:t xml:space="preserve">two </w:t>
      </w:r>
      <w:r>
        <w:rPr>
          <w:rFonts w:hint="eastAsia" w:ascii="Times New Roman" w:hAnsi="Times New Roman"/>
          <w:i/>
          <w:sz w:val="20"/>
          <w:szCs w:val="20"/>
        </w:rPr>
        <w:t>TCI states of the CORESET</w:t>
      </w:r>
      <w:r>
        <w:rPr>
          <w:rFonts w:ascii="Times New Roman" w:hAnsi="Times New Roman"/>
          <w:i/>
          <w:sz w:val="20"/>
          <w:szCs w:val="20"/>
        </w:rPr>
        <w:t xml:space="preserve"> with lowest index</w:t>
      </w:r>
      <w:r>
        <w:rPr>
          <w:rFonts w:hint="eastAsia" w:ascii="Times New Roman" w:hAnsi="Times New Roman"/>
          <w:i/>
          <w:sz w:val="20"/>
          <w:szCs w:val="20"/>
        </w:rPr>
        <w:t xml:space="preserve"> should be used as the default TCI state of the aperiodic CSI-RS</w:t>
      </w:r>
      <w:r>
        <w:rPr>
          <w:rFonts w:ascii="Times New Roman" w:hAnsi="Times New Roman"/>
          <w:i/>
          <w:sz w:val="20"/>
          <w:szCs w:val="20"/>
        </w:rPr>
        <w:t>.</w:t>
      </w:r>
    </w:p>
    <w:p>
      <w:pPr>
        <w:pStyle w:val="99"/>
        <w:numPr>
          <w:ilvl w:val="0"/>
          <w:numId w:val="10"/>
        </w:numPr>
        <w:snapToGrid w:val="0"/>
        <w:spacing w:before="0" w:beforeLines="-2147483648" w:after="0" w:afterLines="-2147483648" w:line="240" w:lineRule="auto"/>
        <w:ind w:left="1140" w:hanging="420" w:firstLineChars="0"/>
        <w:jc w:val="both"/>
        <w:rPr>
          <w:rFonts w:ascii="Times New Roman" w:hAnsi="Times New Roman"/>
          <w:i/>
          <w:iCs/>
          <w:sz w:val="20"/>
          <w:szCs w:val="20"/>
        </w:rPr>
      </w:pPr>
      <w:r>
        <w:rPr>
          <w:rFonts w:hint="eastAsia" w:ascii="Times New Roman" w:hAnsi="Times New Roman"/>
          <w:i/>
          <w:sz w:val="20"/>
          <w:szCs w:val="20"/>
        </w:rPr>
        <w:t>If</w:t>
      </w:r>
      <w:r>
        <w:rPr>
          <w:rFonts w:ascii="Times New Roman" w:hAnsi="Times New Roman"/>
          <w:i/>
          <w:sz w:val="20"/>
          <w:szCs w:val="20"/>
        </w:rPr>
        <w:t xml:space="preserve"> there is other signal on the same symbol with the </w:t>
      </w:r>
      <w:r>
        <w:rPr>
          <w:rFonts w:hint="eastAsia" w:ascii="Times New Roman" w:hAnsi="Times New Roman"/>
          <w:i/>
          <w:sz w:val="20"/>
          <w:szCs w:val="20"/>
        </w:rPr>
        <w:t xml:space="preserve">AP </w:t>
      </w:r>
      <w:r>
        <w:rPr>
          <w:rFonts w:ascii="Times New Roman" w:hAnsi="Times New Roman"/>
          <w:i/>
          <w:sz w:val="20"/>
          <w:szCs w:val="20"/>
        </w:rPr>
        <w:t xml:space="preserve">CSI-RS, </w:t>
      </w:r>
      <w:r>
        <w:rPr>
          <w:rFonts w:hint="eastAsia" w:ascii="Times New Roman" w:hAnsi="Times New Roman"/>
          <w:i/>
          <w:sz w:val="20"/>
          <w:szCs w:val="20"/>
        </w:rPr>
        <w:t xml:space="preserve">the default TCI </w:t>
      </w:r>
      <w:r>
        <w:rPr>
          <w:rFonts w:ascii="Times New Roman" w:hAnsi="Times New Roman"/>
          <w:i/>
          <w:sz w:val="20"/>
          <w:szCs w:val="20"/>
        </w:rPr>
        <w:t>of the AP CSI-RS follows the first TCI state of the other signal.</w:t>
      </w:r>
    </w:p>
    <w:p>
      <w:pPr>
        <w:pStyle w:val="99"/>
        <w:numPr>
          <w:ilvl w:val="1"/>
          <w:numId w:val="16"/>
        </w:numPr>
        <w:snapToGrid w:val="0"/>
        <w:spacing w:before="0" w:beforeLines="-2147483648" w:after="0" w:afterLines="-2147483648" w:line="240" w:lineRule="auto"/>
        <w:ind w:left="840" w:hanging="420" w:firstLineChars="0"/>
        <w:jc w:val="both"/>
        <w:rPr>
          <w:rFonts w:ascii="Times New Roman" w:hAnsi="Times New Roman"/>
          <w:i/>
          <w:sz w:val="20"/>
          <w:szCs w:val="20"/>
        </w:rPr>
      </w:pPr>
      <w:r>
        <w:rPr>
          <w:rFonts w:hint="eastAsia" w:ascii="Times New Roman" w:hAnsi="Times New Roman"/>
          <w:i/>
          <w:sz w:val="20"/>
          <w:szCs w:val="20"/>
        </w:rPr>
        <w:t>I</w:t>
      </w:r>
      <w:r>
        <w:rPr>
          <w:rFonts w:ascii="Times New Roman" w:hAnsi="Times New Roman"/>
          <w:i/>
          <w:sz w:val="20"/>
          <w:szCs w:val="20"/>
        </w:rPr>
        <w:t>f UE is able to support Rel-16 default beam feature, reuse Rel-16 default beam rules.</w:t>
      </w:r>
    </w:p>
    <w:bookmarkEnd w:id="18"/>
    <w:p>
      <w:pPr>
        <w:pStyle w:val="3"/>
        <w:numPr>
          <w:ilvl w:val="1"/>
          <w:numId w:val="4"/>
        </w:numPr>
        <w:snapToGrid w:val="0"/>
        <w:spacing w:before="180" w:beforeLines="50" w:after="180" w:afterLines="50"/>
        <w:rPr>
          <w:rFonts w:ascii="Arial" w:hAnsi="Arial" w:cs="Arial"/>
          <w:sz w:val="24"/>
          <w:szCs w:val="24"/>
          <w:lang w:val="en-US"/>
        </w:rPr>
      </w:pPr>
      <w:r>
        <w:rPr>
          <w:rFonts w:ascii="Arial" w:hAnsi="Arial" w:cs="Arial"/>
          <w:sz w:val="24"/>
          <w:szCs w:val="24"/>
          <w:lang w:val="en-US"/>
        </w:rPr>
        <w:t xml:space="preserve">Default </w:t>
      </w:r>
      <w:r>
        <w:rPr>
          <w:rFonts w:hint="eastAsia" w:ascii="Arial" w:hAnsi="Arial" w:cs="Arial"/>
          <w:sz w:val="24"/>
          <w:szCs w:val="24"/>
          <w:lang w:val="en-US"/>
        </w:rPr>
        <w:t>spatial for UL transmission</w:t>
      </w:r>
    </w:p>
    <w:p>
      <w:pPr>
        <w:pStyle w:val="4"/>
        <w:numPr>
          <w:ilvl w:val="0"/>
          <w:numId w:val="0"/>
        </w:numPr>
        <w:snapToGrid w:val="0"/>
        <w:spacing w:before="180" w:beforeLines="50" w:after="180" w:afterLines="50" w:line="240" w:lineRule="auto"/>
        <w:ind w:left="720" w:hanging="720"/>
        <w:rPr>
          <w:rFonts w:ascii="Times New Roman" w:hAnsi="Times New Roman"/>
          <w:sz w:val="24"/>
          <w:szCs w:val="24"/>
          <w:lang w:val="en-US"/>
        </w:rPr>
      </w:pPr>
      <w:r>
        <w:rPr>
          <w:rFonts w:hint="eastAsia" w:ascii="Times New Roman" w:hAnsi="Times New Roman"/>
          <w:sz w:val="24"/>
          <w:szCs w:val="24"/>
          <w:lang w:val="en-US"/>
        </w:rPr>
        <w:t xml:space="preserve">2.3.1 </w:t>
      </w:r>
      <w:r>
        <w:rPr>
          <w:rFonts w:ascii="Times New Roman" w:hAnsi="Times New Roman"/>
          <w:sz w:val="24"/>
          <w:szCs w:val="24"/>
          <w:lang w:val="en-US"/>
        </w:rPr>
        <w:t>For P</w:t>
      </w:r>
      <w:r>
        <w:rPr>
          <w:rFonts w:hint="eastAsia" w:ascii="Times New Roman" w:hAnsi="Times New Roman"/>
          <w:sz w:val="24"/>
          <w:szCs w:val="24"/>
          <w:lang w:val="en-US"/>
        </w:rPr>
        <w:t>UC</w:t>
      </w:r>
      <w:r>
        <w:rPr>
          <w:rFonts w:ascii="Times New Roman" w:hAnsi="Times New Roman"/>
          <w:sz w:val="24"/>
          <w:szCs w:val="24"/>
          <w:lang w:val="en-US"/>
        </w:rPr>
        <w:t>CH</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Rel-16, t</w:t>
      </w:r>
      <w:r>
        <w:rPr>
          <w:rFonts w:hint="eastAsia" w:ascii="Times New Roman" w:hAnsi="Times New Roman"/>
          <w:sz w:val="20"/>
          <w:szCs w:val="20"/>
        </w:rPr>
        <w:t xml:space="preserve">he default spatial relation for PUCCH is described in current spec as </w:t>
      </w:r>
      <w:r>
        <w:rPr>
          <w:rFonts w:ascii="Times New Roman" w:hAnsi="Times New Roman"/>
          <w:sz w:val="20"/>
          <w:szCs w:val="20"/>
        </w:rPr>
        <w:t xml:space="preserve">below </w:t>
      </w:r>
      <w:r>
        <w:rPr>
          <w:rFonts w:hint="eastAsia" w:ascii="Times New Roman" w:hAnsi="Times New Roman"/>
          <w:sz w:val="20"/>
          <w:szCs w:val="20"/>
        </w:rPr>
        <w:t>[3]</w:t>
      </w:r>
      <w:r>
        <w:rPr>
          <w:rFonts w:ascii="Times New Roman" w:hAnsi="Times New Roman"/>
          <w:sz w:val="20"/>
          <w:szCs w:val="20"/>
        </w:rPr>
        <w:t>, That is, i</w:t>
      </w:r>
      <w:r>
        <w:rPr>
          <w:rFonts w:hint="eastAsia" w:ascii="Times New Roman" w:hAnsi="Times New Roman"/>
          <w:sz w:val="20"/>
          <w:szCs w:val="20"/>
        </w:rPr>
        <w:t xml:space="preserve">f PL-RS and spatial relation information are not configured and default beam is enabled for the PUCCH transmission, </w:t>
      </w:r>
      <w:r>
        <w:rPr>
          <w:rFonts w:ascii="Times New Roman" w:hAnsi="Times New Roman"/>
          <w:sz w:val="20"/>
          <w:szCs w:val="20"/>
        </w:rPr>
        <w:t xml:space="preserve">and </w:t>
      </w:r>
      <w:r>
        <w:rPr>
          <w:rFonts w:hint="eastAsia" w:ascii="Times New Roman" w:hAnsi="Times New Roman"/>
          <w:sz w:val="20"/>
          <w:szCs w:val="20"/>
        </w:rPr>
        <w:t>the spatial relation of PUCCH transmission is associated with the CORESET with the lowest index.</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rFonts w:ascii="Times New Roman" w:hAnsi="Times New Roman"/>
                <w:b/>
                <w:bCs/>
                <w:sz w:val="20"/>
                <w:szCs w:val="20"/>
              </w:rPr>
            </w:pPr>
            <w:r>
              <w:rPr>
                <w:rFonts w:ascii="Times New Roman" w:hAnsi="Times New Roman"/>
                <w:b/>
                <w:bCs/>
                <w:sz w:val="20"/>
                <w:szCs w:val="20"/>
              </w:rPr>
              <w:t>38.213 section 9.2.2</w:t>
            </w:r>
          </w:p>
          <w:p>
            <w:pPr>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If a UE</w:t>
            </w:r>
          </w:p>
          <w:p>
            <w:pPr>
              <w:pStyle w:val="85"/>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 xml:space="preserve">is not provided </w:t>
            </w:r>
            <w:r>
              <w:rPr>
                <w:rFonts w:ascii="Times New Roman" w:hAnsi="Times New Roman"/>
                <w:i/>
                <w:sz w:val="20"/>
                <w:szCs w:val="20"/>
              </w:rPr>
              <w:t>pathlossReferenceRSs</w:t>
            </w:r>
            <w:r>
              <w:rPr>
                <w:rFonts w:ascii="Times New Roman" w:hAnsi="Times New Roman"/>
                <w:sz w:val="20"/>
                <w:szCs w:val="20"/>
              </w:rPr>
              <w:t xml:space="preserve"> in </w:t>
            </w:r>
            <w:r>
              <w:rPr>
                <w:rFonts w:ascii="Times New Roman" w:hAnsi="Times New Roman"/>
                <w:i/>
                <w:iCs/>
                <w:sz w:val="20"/>
                <w:szCs w:val="20"/>
              </w:rPr>
              <w:t>PUCCH-PowerControl</w:t>
            </w:r>
            <w:r>
              <w:rPr>
                <w:rFonts w:ascii="Times New Roman" w:hAnsi="Times New Roman"/>
                <w:iCs/>
                <w:sz w:val="20"/>
                <w:szCs w:val="20"/>
              </w:rPr>
              <w:t>,</w:t>
            </w:r>
            <w:r>
              <w:rPr>
                <w:rFonts w:ascii="Times New Roman" w:hAnsi="Times New Roman"/>
                <w:sz w:val="20"/>
                <w:szCs w:val="20"/>
              </w:rPr>
              <w:t xml:space="preserve"> </w:t>
            </w:r>
          </w:p>
          <w:p>
            <w:pPr>
              <w:pStyle w:val="85"/>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i</w:t>
            </w:r>
            <w:r>
              <w:rPr>
                <w:rFonts w:ascii="Times New Roman" w:hAnsi="Times New Roman"/>
                <w:color w:val="000000"/>
                <w:sz w:val="20"/>
                <w:szCs w:val="20"/>
              </w:rPr>
              <w:t xml:space="preserve">s provided </w:t>
            </w:r>
            <w:r>
              <w:rPr>
                <w:rFonts w:ascii="Times New Roman" w:hAnsi="Times New Roman"/>
                <w:i/>
                <w:color w:val="000000"/>
                <w:sz w:val="20"/>
                <w:szCs w:val="20"/>
              </w:rPr>
              <w:t>enableDefaultBeamPL-ForPUCCH</w:t>
            </w:r>
            <w:r>
              <w:rPr>
                <w:rFonts w:ascii="Times New Roman" w:hAnsi="Times New Roman"/>
                <w:sz w:val="20"/>
                <w:szCs w:val="20"/>
              </w:rPr>
              <w:t xml:space="preserve">, and </w:t>
            </w:r>
          </w:p>
          <w:p>
            <w:pPr>
              <w:pStyle w:val="85"/>
              <w:snapToGrid w:val="0"/>
              <w:spacing w:before="180" w:beforeLines="50" w:after="180" w:afterLines="50" w:line="240" w:lineRule="auto"/>
              <w:rPr>
                <w:rFonts w:ascii="Times New Roman" w:hAnsi="Times New Roman"/>
                <w:iCs/>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is not provided</w:t>
            </w:r>
            <w:r>
              <w:rPr>
                <w:rFonts w:ascii="Times New Roman" w:hAnsi="Times New Roman"/>
                <w:i/>
                <w:sz w:val="20"/>
                <w:szCs w:val="20"/>
              </w:rPr>
              <w:t xml:space="preserve"> PUCCH-SpatialRelationInfo</w:t>
            </w:r>
            <w:r>
              <w:rPr>
                <w:rFonts w:ascii="Times New Roman" w:hAnsi="Times New Roman"/>
                <w:sz w:val="20"/>
                <w:szCs w:val="20"/>
              </w:rPr>
              <w:t>,</w:t>
            </w:r>
            <w:r>
              <w:rPr>
                <w:rFonts w:ascii="Times New Roman" w:hAnsi="Times New Roman"/>
                <w:iCs/>
                <w:sz w:val="20"/>
                <w:szCs w:val="20"/>
              </w:rPr>
              <w:t xml:space="preserve"> and</w:t>
            </w:r>
          </w:p>
          <w:p>
            <w:pPr>
              <w:pStyle w:val="85"/>
              <w:snapToGrid w:val="0"/>
              <w:spacing w:before="180" w:beforeLines="50" w:after="180" w:afterLines="50" w:line="240" w:lineRule="auto"/>
              <w:rPr>
                <w:rFonts w:ascii="Times New Roman" w:hAnsi="Times New Roman"/>
                <w:iCs/>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 xml:space="preserve">is not provided </w:t>
            </w:r>
            <w:r>
              <w:rPr>
                <w:rStyle w:val="32"/>
                <w:rFonts w:ascii="Times New Roman" w:hAnsi="Times New Roman" w:eastAsia="Batang"/>
                <w:sz w:val="20"/>
                <w:szCs w:val="20"/>
              </w:rPr>
              <w:t>coresetPoolIndex</w:t>
            </w:r>
            <w:r>
              <w:rPr>
                <w:rFonts w:ascii="Times New Roman" w:hAnsi="Times New Roman"/>
                <w:sz w:val="20"/>
                <w:szCs w:val="20"/>
              </w:rPr>
              <w:t xml:space="preserve"> value of 1 for any CORESET, or is provided </w:t>
            </w:r>
            <w:r>
              <w:rPr>
                <w:rStyle w:val="32"/>
                <w:rFonts w:ascii="Times New Roman" w:hAnsi="Times New Roman" w:eastAsia="Batang"/>
                <w:sz w:val="20"/>
                <w:szCs w:val="20"/>
              </w:rPr>
              <w:t>coresetPoolIndex</w:t>
            </w:r>
            <w:r>
              <w:rPr>
                <w:rFonts w:ascii="Times New Roman" w:hAnsi="Times New Roman"/>
                <w:sz w:val="20"/>
                <w:szCs w:val="20"/>
              </w:rPr>
              <w:t xml:space="preserve"> value of 1 for all CORESETs, in </w:t>
            </w:r>
            <w:r>
              <w:rPr>
                <w:rStyle w:val="32"/>
                <w:rFonts w:ascii="Times New Roman" w:hAnsi="Times New Roman" w:eastAsia="Batang"/>
                <w:sz w:val="20"/>
                <w:szCs w:val="20"/>
              </w:rPr>
              <w:t>ControlResourceSet </w:t>
            </w:r>
            <w:r>
              <w:rPr>
                <w:rFonts w:ascii="Times New Roman" w:hAnsi="Times New Roman"/>
                <w:sz w:val="20"/>
                <w:szCs w:val="20"/>
              </w:rPr>
              <w:t>and no codepoint of a TCI field, if any, in a DCI format of any search space set maps to two TCI states [5, TS 38.212]</w:t>
            </w:r>
          </w:p>
          <w:p>
            <w:pPr>
              <w:snapToGrid w:val="0"/>
              <w:spacing w:before="180" w:beforeLines="50" w:after="180" w:afterLines="50" w:line="240" w:lineRule="auto"/>
              <w:jc w:val="both"/>
              <w:rPr>
                <w:rFonts w:ascii="Times New Roman" w:hAnsi="Times New Roman"/>
                <w:sz w:val="24"/>
                <w:szCs w:val="24"/>
              </w:rPr>
            </w:pPr>
            <w:r>
              <w:rPr>
                <w:rFonts w:ascii="Times New Roman" w:hAnsi="Times New Roman"/>
                <w:iCs/>
                <w:sz w:val="20"/>
                <w:szCs w:val="20"/>
              </w:rPr>
              <w:t xml:space="preserve">a spatial setting for a PUCCH transmission from the UE is same as a </w:t>
            </w:r>
            <w:r>
              <w:rPr>
                <w:rFonts w:ascii="Times New Roman" w:hAnsi="Times New Roman"/>
                <w:sz w:val="20"/>
                <w:szCs w:val="20"/>
              </w:rPr>
              <w:t>spatial setting for PDCCH receptions by the UE in the CORESET with the lowest ID on the active DL BWP of the PCell. For a PUCCH transmission over multiple slots, a same spatial setting applies to the PUCCH transmission in each of the multiple slots.</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Rel-17, </w:t>
      </w:r>
      <w:r>
        <w:rPr>
          <w:rFonts w:hint="eastAsia" w:ascii="Times New Roman" w:hAnsi="Times New Roman"/>
          <w:sz w:val="20"/>
          <w:szCs w:val="20"/>
        </w:rPr>
        <w:t>if two TCI states are activated for the CORESET with the lowest ID on the active DL BW</w:t>
      </w:r>
      <w:r>
        <w:rPr>
          <w:rFonts w:ascii="Times New Roman" w:hAnsi="Times New Roman"/>
          <w:sz w:val="20"/>
          <w:szCs w:val="20"/>
        </w:rPr>
        <w:t>P</w:t>
      </w:r>
      <w:r>
        <w:rPr>
          <w:rFonts w:hint="eastAsia" w:ascii="Times New Roman" w:hAnsi="Times New Roman"/>
          <w:sz w:val="20"/>
          <w:szCs w:val="20"/>
        </w:rPr>
        <w:t xml:space="preserve"> of the PCell, the current spec</w:t>
      </w:r>
      <w:r>
        <w:rPr>
          <w:rFonts w:ascii="Times New Roman" w:hAnsi="Times New Roman"/>
          <w:sz w:val="20"/>
          <w:szCs w:val="20"/>
        </w:rPr>
        <w:t>ification</w:t>
      </w:r>
      <w:r>
        <w:rPr>
          <w:rFonts w:hint="eastAsia" w:ascii="Times New Roman" w:hAnsi="Times New Roman"/>
          <w:sz w:val="20"/>
          <w:szCs w:val="20"/>
        </w:rPr>
        <w:t xml:space="preserve"> cannot </w:t>
      </w:r>
      <w:r>
        <w:rPr>
          <w:rFonts w:ascii="Times New Roman" w:hAnsi="Times New Roman"/>
          <w:sz w:val="20"/>
          <w:szCs w:val="20"/>
        </w:rPr>
        <w:t>be directly reused to determine</w:t>
      </w:r>
      <w:r>
        <w:rPr>
          <w:rFonts w:hint="eastAsia" w:ascii="Times New Roman" w:hAnsi="Times New Roman"/>
          <w:sz w:val="20"/>
          <w:szCs w:val="20"/>
        </w:rPr>
        <w:t xml:space="preserve"> the default spatial relation </w:t>
      </w:r>
      <w:r>
        <w:rPr>
          <w:rFonts w:ascii="Times New Roman" w:hAnsi="Times New Roman"/>
          <w:sz w:val="20"/>
          <w:szCs w:val="20"/>
        </w:rPr>
        <w:t>of</w:t>
      </w:r>
      <w:r>
        <w:rPr>
          <w:rFonts w:hint="eastAsia" w:ascii="Times New Roman" w:hAnsi="Times New Roman"/>
          <w:sz w:val="20"/>
          <w:szCs w:val="20"/>
        </w:rPr>
        <w:t xml:space="preserve"> PUCCH</w:t>
      </w:r>
      <w:r>
        <w:rPr>
          <w:rFonts w:ascii="Times New Roman" w:hAnsi="Times New Roman"/>
          <w:sz w:val="20"/>
          <w:szCs w:val="20"/>
        </w:rPr>
        <w:t xml:space="preserve"> since only one beam can be applied for PUCCH at a time</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One solution is that gNB </w:t>
      </w:r>
      <w:r>
        <w:rPr>
          <w:rFonts w:hint="eastAsia" w:ascii="Times New Roman" w:hAnsi="Times New Roman"/>
          <w:sz w:val="20"/>
          <w:szCs w:val="20"/>
        </w:rPr>
        <w:t>ensure</w:t>
      </w:r>
      <w:r>
        <w:rPr>
          <w:rFonts w:ascii="Times New Roman" w:hAnsi="Times New Roman"/>
          <w:sz w:val="20"/>
          <w:szCs w:val="20"/>
        </w:rPr>
        <w:t xml:space="preserve">s </w:t>
      </w:r>
      <w:r>
        <w:rPr>
          <w:rFonts w:hint="eastAsia" w:ascii="Times New Roman" w:hAnsi="Times New Roman"/>
          <w:sz w:val="20"/>
          <w:szCs w:val="20"/>
        </w:rPr>
        <w:t xml:space="preserve">only one TCI state is </w:t>
      </w:r>
      <w:r>
        <w:rPr>
          <w:rFonts w:ascii="Times New Roman" w:hAnsi="Times New Roman"/>
          <w:sz w:val="20"/>
          <w:szCs w:val="20"/>
        </w:rPr>
        <w:t>configured</w:t>
      </w:r>
      <w:r>
        <w:rPr>
          <w:rFonts w:hint="eastAsia" w:ascii="Times New Roman" w:hAnsi="Times New Roman"/>
          <w:sz w:val="20"/>
          <w:szCs w:val="20"/>
        </w:rPr>
        <w:t xml:space="preserve"> for the CORESET with the lowest index</w:t>
      </w:r>
      <w:r>
        <w:rPr>
          <w:rFonts w:ascii="Times New Roman" w:hAnsi="Times New Roman"/>
          <w:sz w:val="20"/>
          <w:szCs w:val="20"/>
        </w:rPr>
        <w:t>. However,</w:t>
      </w:r>
      <w:r>
        <w:rPr>
          <w:rFonts w:hint="eastAsia" w:ascii="Times New Roman" w:hAnsi="Times New Roman"/>
          <w:sz w:val="20"/>
          <w:szCs w:val="20"/>
        </w:rPr>
        <w:t xml:space="preserve"> </w:t>
      </w:r>
      <w:r>
        <w:rPr>
          <w:rFonts w:ascii="Times New Roman" w:hAnsi="Times New Roman"/>
          <w:sz w:val="20"/>
          <w:szCs w:val="20"/>
        </w:rPr>
        <w:t>it</w:t>
      </w:r>
      <w:r>
        <w:rPr>
          <w:rFonts w:hint="eastAsia" w:ascii="Times New Roman" w:hAnsi="Times New Roman"/>
          <w:sz w:val="20"/>
          <w:szCs w:val="20"/>
        </w:rPr>
        <w:t xml:space="preserve"> will surely reduce the scheduling flexibility</w:t>
      </w:r>
      <w:r>
        <w:rPr>
          <w:rFonts w:ascii="Times New Roman" w:hAnsi="Times New Roman"/>
          <w:sz w:val="20"/>
          <w:szCs w:val="20"/>
        </w:rPr>
        <w:t xml:space="preserve"> and reduce PDCCH reliability in HST scenarios</w:t>
      </w:r>
      <w:r>
        <w:rPr>
          <w:rFonts w:hint="eastAsia" w:ascii="Times New Roman" w:hAnsi="Times New Roman"/>
          <w:sz w:val="20"/>
          <w:szCs w:val="20"/>
        </w:rPr>
        <w:t xml:space="preserve">. So </w:t>
      </w:r>
      <w:r>
        <w:rPr>
          <w:rFonts w:ascii="Times New Roman" w:hAnsi="Times New Roman"/>
          <w:sz w:val="20"/>
          <w:szCs w:val="20"/>
        </w:rPr>
        <w:t xml:space="preserve">it is better to use </w:t>
      </w:r>
      <w:r>
        <w:rPr>
          <w:rFonts w:hint="eastAsia" w:ascii="Times New Roman" w:hAnsi="Times New Roman"/>
          <w:sz w:val="20"/>
          <w:szCs w:val="20"/>
        </w:rPr>
        <w:t>one of the two TCI states activated for the CORESET as the default spatial relation for the PUCCH transmission</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especially when PUCCH repetition is not configured. F</w:t>
      </w:r>
      <w:r>
        <w:rPr>
          <w:rFonts w:hint="eastAsia" w:ascii="Times New Roman" w:hAnsi="Times New Roman"/>
          <w:sz w:val="20"/>
          <w:szCs w:val="20"/>
        </w:rPr>
        <w:t xml:space="preserve">or simplicity, the first one of the two TCI states </w:t>
      </w:r>
      <w:r>
        <w:rPr>
          <w:rFonts w:ascii="Times New Roman" w:hAnsi="Times New Roman"/>
          <w:sz w:val="20"/>
          <w:szCs w:val="20"/>
        </w:rPr>
        <w:t>can</w:t>
      </w:r>
      <w:r>
        <w:rPr>
          <w:rFonts w:hint="eastAsia" w:ascii="Times New Roman" w:hAnsi="Times New Roman"/>
          <w:sz w:val="20"/>
          <w:szCs w:val="20"/>
        </w:rPr>
        <w:t xml:space="preserve"> be </w:t>
      </w:r>
      <w:r>
        <w:rPr>
          <w:rFonts w:ascii="Times New Roman" w:hAnsi="Times New Roman"/>
          <w:sz w:val="20"/>
          <w:szCs w:val="20"/>
        </w:rPr>
        <w:t>used.</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To achieve beam diversity</w:t>
      </w:r>
      <w:r>
        <w:rPr>
          <w:rFonts w:hint="eastAsia" w:ascii="Times New Roman" w:hAnsi="Times New Roman"/>
          <w:sz w:val="20"/>
          <w:szCs w:val="20"/>
        </w:rPr>
        <w:t xml:space="preserve"> for PUCCH repetition, the two TCI states of the CORESET with the lowest ID can be used for different PUCCH transmission </w:t>
      </w:r>
      <w:r>
        <w:rPr>
          <w:rFonts w:ascii="Times New Roman" w:hAnsi="Times New Roman"/>
          <w:sz w:val="20"/>
          <w:szCs w:val="20"/>
        </w:rPr>
        <w:t>occasion group</w:t>
      </w:r>
      <w:r>
        <w:rPr>
          <w:rFonts w:hint="eastAsia" w:ascii="Times New Roman" w:hAnsi="Times New Roman"/>
          <w:sz w:val="20"/>
          <w:szCs w:val="20"/>
        </w:rPr>
        <w:t>s.</w:t>
      </w:r>
      <w:r>
        <w:rPr>
          <w:rFonts w:ascii="Times New Roman" w:hAnsi="Times New Roman"/>
          <w:sz w:val="20"/>
          <w:szCs w:val="20"/>
        </w:rPr>
        <w:t xml:space="preserve"> Then, MTRP transmission can be supported in such case. The mapping between the spatial relations and PUCCH transmission occasions can rely on whether ‘cyclic’ or ‘sequential’ beam mapping is configured by RRC signaling as discussed in section 8.1.2.1.</w:t>
      </w:r>
    </w:p>
    <w:p>
      <w:pPr>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Based on the</w:t>
      </w:r>
      <w:r>
        <w:rPr>
          <w:rFonts w:hint="eastAsia" w:ascii="Times New Roman" w:hAnsi="Times New Roman"/>
          <w:sz w:val="20"/>
          <w:szCs w:val="20"/>
        </w:rPr>
        <w:t xml:space="preserve"> above analysis, we make the following proposal:</w:t>
      </w:r>
    </w:p>
    <w:p>
      <w:pPr>
        <w:snapToGrid w:val="0"/>
        <w:spacing w:before="0" w:beforeLines="-2147483648" w:after="0" w:afterLines="-2147483648" w:line="240" w:lineRule="auto"/>
        <w:jc w:val="both"/>
        <w:rPr>
          <w:rFonts w:ascii="Times New Roman" w:hAnsi="Times New Roman"/>
          <w:i/>
          <w:iCs/>
          <w:sz w:val="20"/>
          <w:szCs w:val="20"/>
        </w:rPr>
      </w:pPr>
      <w:r>
        <w:rPr>
          <w:rFonts w:hint="eastAsia" w:ascii="Times New Roman" w:hAnsi="Times New Roman"/>
          <w:b/>
          <w:bCs/>
          <w:i/>
          <w:iCs/>
          <w:sz w:val="20"/>
          <w:szCs w:val="20"/>
        </w:rPr>
        <w:t>Proposal 9:</w:t>
      </w:r>
      <w:r>
        <w:rPr>
          <w:rFonts w:ascii="Times New Roman" w:hAnsi="Times New Roman"/>
          <w:b/>
          <w:bCs/>
          <w:i/>
          <w:iCs/>
          <w:sz w:val="20"/>
          <w:szCs w:val="20"/>
        </w:rPr>
        <w:t xml:space="preserve"> </w:t>
      </w:r>
      <w:r>
        <w:rPr>
          <w:rFonts w:ascii="Times New Roman" w:hAnsi="Times New Roman"/>
          <w:i/>
          <w:iCs/>
          <w:sz w:val="20"/>
          <w:szCs w:val="20"/>
        </w:rPr>
        <w:t xml:space="preserve">When PL-RS and spatial relation information are not configured and default beam is enabled for the PUCCH transmission, </w:t>
      </w:r>
      <w:r>
        <w:rPr>
          <w:rFonts w:hint="eastAsia" w:ascii="Times New Roman" w:hAnsi="Times New Roman"/>
          <w:i/>
          <w:iCs/>
          <w:sz w:val="20"/>
          <w:szCs w:val="20"/>
        </w:rPr>
        <w:t>if two TCI states are activated for the CORESET with the lowest ID on the active DL BWP</w:t>
      </w:r>
      <w:r>
        <w:rPr>
          <w:rFonts w:ascii="Times New Roman" w:hAnsi="Times New Roman"/>
          <w:i/>
          <w:iCs/>
          <w:sz w:val="20"/>
          <w:szCs w:val="20"/>
        </w:rPr>
        <w:t xml:space="preserve">, </w:t>
      </w:r>
    </w:p>
    <w:p>
      <w:pPr>
        <w:numPr>
          <w:ilvl w:val="0"/>
          <w:numId w:val="17"/>
        </w:numPr>
        <w:snapToGrid w:val="0"/>
        <w:spacing w:before="0" w:beforeLines="-2147483648" w:after="0" w:afterLines="-2147483648" w:line="240" w:lineRule="auto"/>
        <w:ind w:left="840" w:hanging="420"/>
        <w:jc w:val="both"/>
        <w:rPr>
          <w:rFonts w:ascii="Times New Roman" w:hAnsi="Times New Roman"/>
          <w:i/>
          <w:iCs/>
          <w:sz w:val="20"/>
          <w:szCs w:val="20"/>
        </w:rPr>
      </w:pPr>
      <w:r>
        <w:rPr>
          <w:rFonts w:hint="eastAsia" w:ascii="Times New Roman" w:hAnsi="Times New Roman"/>
          <w:i/>
          <w:iCs/>
          <w:sz w:val="20"/>
          <w:szCs w:val="20"/>
        </w:rPr>
        <w:t>If PUCCH repetition is not configured, the first one of the two TCI states activated for the CORESET with the lowest ID on the active DL BWP is used</w:t>
      </w:r>
      <w:r>
        <w:rPr>
          <w:rFonts w:ascii="Times New Roman" w:hAnsi="Times New Roman"/>
          <w:i/>
          <w:iCs/>
          <w:sz w:val="20"/>
          <w:szCs w:val="20"/>
        </w:rPr>
        <w:t xml:space="preserve"> to determine the spatial relation of PUCCH transmission</w:t>
      </w:r>
      <w:r>
        <w:rPr>
          <w:rFonts w:hint="eastAsia" w:ascii="Times New Roman" w:hAnsi="Times New Roman"/>
          <w:i/>
          <w:iCs/>
          <w:sz w:val="20"/>
          <w:szCs w:val="20"/>
        </w:rPr>
        <w:t>.</w:t>
      </w:r>
    </w:p>
    <w:p>
      <w:pPr>
        <w:numPr>
          <w:ilvl w:val="0"/>
          <w:numId w:val="17"/>
        </w:numPr>
        <w:snapToGrid w:val="0"/>
        <w:spacing w:before="0" w:beforeLines="-2147483648" w:after="0" w:afterLines="-2147483648" w:line="240" w:lineRule="auto"/>
        <w:ind w:left="840" w:hanging="420"/>
        <w:jc w:val="both"/>
        <w:rPr>
          <w:rFonts w:ascii="Times New Roman" w:hAnsi="Times New Roman"/>
          <w:sz w:val="24"/>
          <w:szCs w:val="24"/>
        </w:rPr>
      </w:pPr>
      <w:r>
        <w:rPr>
          <w:rFonts w:hint="eastAsia" w:ascii="Times New Roman" w:hAnsi="Times New Roman"/>
          <w:i/>
          <w:iCs/>
          <w:sz w:val="20"/>
          <w:szCs w:val="20"/>
        </w:rPr>
        <w:t>If PUCCH repetition is configured, the two TCI states activated for the CORESET with the lowest ID on the active DL BWP are used</w:t>
      </w:r>
      <w:r>
        <w:rPr>
          <w:rFonts w:ascii="Times New Roman" w:hAnsi="Times New Roman"/>
          <w:i/>
          <w:iCs/>
          <w:sz w:val="20"/>
          <w:szCs w:val="20"/>
        </w:rPr>
        <w:t xml:space="preserve"> to determine the spatial relation of PUCCH transmission occasions</w:t>
      </w:r>
      <w:r>
        <w:rPr>
          <w:rFonts w:hint="eastAsia" w:ascii="Times New Roman" w:hAnsi="Times New Roman"/>
          <w:i/>
          <w:iCs/>
          <w:sz w:val="20"/>
          <w:szCs w:val="20"/>
        </w:rPr>
        <w:t>, and each TCI state is associated to one PUCCH transmission occasion group.</w:t>
      </w:r>
      <w:r>
        <w:rPr>
          <w:rFonts w:hint="eastAsia" w:ascii="Times New Roman" w:hAnsi="Times New Roman"/>
          <w:i/>
          <w:iCs/>
          <w:sz w:val="20"/>
          <w:szCs w:val="20"/>
        </w:rPr>
        <w:tab/>
      </w:r>
    </w:p>
    <w:p>
      <w:pPr>
        <w:pStyle w:val="4"/>
        <w:numPr>
          <w:ilvl w:val="0"/>
          <w:numId w:val="0"/>
        </w:numPr>
        <w:snapToGrid w:val="0"/>
        <w:spacing w:before="180" w:beforeLines="50" w:after="180" w:afterLines="50" w:line="240" w:lineRule="auto"/>
        <w:rPr>
          <w:rFonts w:ascii="Times New Roman" w:hAnsi="Times New Roman"/>
          <w:sz w:val="24"/>
          <w:szCs w:val="24"/>
          <w:lang w:val="en-US"/>
        </w:rPr>
      </w:pPr>
      <w:r>
        <w:rPr>
          <w:rFonts w:hint="eastAsia" w:ascii="Times New Roman" w:hAnsi="Times New Roman"/>
          <w:sz w:val="24"/>
          <w:szCs w:val="24"/>
          <w:lang w:val="en-US"/>
        </w:rPr>
        <w:t xml:space="preserve">2.3.2 </w:t>
      </w:r>
      <w:r>
        <w:rPr>
          <w:rFonts w:ascii="Times New Roman" w:hAnsi="Times New Roman"/>
          <w:sz w:val="24"/>
          <w:szCs w:val="24"/>
          <w:lang w:val="en-US"/>
        </w:rPr>
        <w:t>For P</w:t>
      </w:r>
      <w:r>
        <w:rPr>
          <w:rFonts w:hint="eastAsia" w:ascii="Times New Roman" w:hAnsi="Times New Roman"/>
          <w:sz w:val="24"/>
          <w:szCs w:val="24"/>
          <w:lang w:val="en-US"/>
        </w:rPr>
        <w:t>US</w:t>
      </w:r>
      <w:r>
        <w:rPr>
          <w:rFonts w:ascii="Times New Roman" w:hAnsi="Times New Roman"/>
          <w:sz w:val="24"/>
          <w:szCs w:val="24"/>
          <w:lang w:val="en-US"/>
        </w:rPr>
        <w:t>CH</w:t>
      </w:r>
    </w:p>
    <w:p>
      <w:pPr>
        <w:snapToGrid w:val="0"/>
        <w:spacing w:before="180" w:beforeLines="50" w:after="180" w:afterLines="50" w:line="240" w:lineRule="auto"/>
        <w:jc w:val="both"/>
        <w:rPr>
          <w:rFonts w:ascii="Times New Roman" w:hAnsi="Times New Roman"/>
          <w:sz w:val="20"/>
          <w:szCs w:val="20"/>
        </w:rPr>
      </w:pPr>
      <w:bookmarkStart w:id="19" w:name="OLE_LINK22"/>
      <w:r>
        <w:rPr>
          <w:rFonts w:ascii="Times New Roman" w:hAnsi="Times New Roman"/>
          <w:sz w:val="20"/>
          <w:szCs w:val="20"/>
        </w:rPr>
        <w:t>In Rel-16, t</w:t>
      </w:r>
      <w:r>
        <w:rPr>
          <w:rFonts w:hint="eastAsia" w:ascii="Times New Roman" w:hAnsi="Times New Roman"/>
          <w:sz w:val="20"/>
          <w:szCs w:val="20"/>
        </w:rPr>
        <w:t>he default spatial relation for PU</w:t>
      </w:r>
      <w:r>
        <w:rPr>
          <w:rFonts w:ascii="Times New Roman" w:hAnsi="Times New Roman"/>
          <w:sz w:val="20"/>
          <w:szCs w:val="20"/>
        </w:rPr>
        <w:t>S</w:t>
      </w:r>
      <w:r>
        <w:rPr>
          <w:rFonts w:hint="eastAsia" w:ascii="Times New Roman" w:hAnsi="Times New Roman"/>
          <w:sz w:val="20"/>
          <w:szCs w:val="20"/>
        </w:rPr>
        <w:t xml:space="preserve">CH is described in </w:t>
      </w:r>
      <w:r>
        <w:rPr>
          <w:rFonts w:ascii="Times New Roman" w:hAnsi="Times New Roman"/>
          <w:sz w:val="20"/>
          <w:szCs w:val="20"/>
        </w:rPr>
        <w:t xml:space="preserve">the </w:t>
      </w:r>
      <w:r>
        <w:rPr>
          <w:rFonts w:hint="eastAsia" w:ascii="Times New Roman" w:hAnsi="Times New Roman"/>
          <w:sz w:val="20"/>
          <w:szCs w:val="20"/>
        </w:rPr>
        <w:t>current spec</w:t>
      </w:r>
      <w:r>
        <w:rPr>
          <w:rFonts w:ascii="Times New Roman" w:hAnsi="Times New Roman"/>
          <w:sz w:val="20"/>
          <w:szCs w:val="20"/>
        </w:rPr>
        <w:t>ification</w:t>
      </w:r>
      <w:r>
        <w:rPr>
          <w:rFonts w:hint="eastAsia" w:ascii="Times New Roman" w:hAnsi="Times New Roman"/>
          <w:sz w:val="20"/>
          <w:szCs w:val="20"/>
        </w:rPr>
        <w:t xml:space="preserve"> as </w:t>
      </w:r>
      <w:r>
        <w:rPr>
          <w:rFonts w:ascii="Times New Roman" w:hAnsi="Times New Roman"/>
          <w:sz w:val="20"/>
          <w:szCs w:val="20"/>
        </w:rPr>
        <w:t xml:space="preserve">below </w:t>
      </w:r>
      <w:r>
        <w:rPr>
          <w:rFonts w:hint="eastAsia" w:ascii="Times New Roman" w:hAnsi="Times New Roman"/>
          <w:sz w:val="20"/>
          <w:szCs w:val="20"/>
        </w:rPr>
        <w:t>[4]</w:t>
      </w:r>
      <w:r>
        <w:rPr>
          <w:rFonts w:ascii="Times New Roman" w:hAnsi="Times New Roman"/>
          <w:sz w:val="20"/>
          <w:szCs w:val="20"/>
        </w:rPr>
        <w:t xml:space="preserve">. As shown in the second and the third paragraph, the spatial relation of PUSCH scheduled by DCI 0_0 may be determined by the QCL assumptions of the CORESET </w:t>
      </w:r>
      <w:r>
        <w:rPr>
          <w:rFonts w:hint="eastAsia" w:ascii="Times New Roman" w:hAnsi="Times New Roman"/>
          <w:sz w:val="20"/>
          <w:szCs w:val="20"/>
        </w:rPr>
        <w:t>w</w:t>
      </w:r>
      <w:r>
        <w:rPr>
          <w:rFonts w:ascii="Times New Roman" w:hAnsi="Times New Roman"/>
          <w:sz w:val="20"/>
          <w:szCs w:val="20"/>
        </w:rPr>
        <w:t xml:space="preserve">ith the lowest ID.  </w:t>
      </w:r>
    </w:p>
    <w:bookmarkEnd w:id="19"/>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rFonts w:ascii="Times New Roman" w:hAnsi="Times New Roman"/>
                <w:b/>
                <w:bCs/>
                <w:color w:val="000000"/>
                <w:sz w:val="20"/>
                <w:szCs w:val="20"/>
              </w:rPr>
            </w:pPr>
            <w:bookmarkStart w:id="20" w:name="_Hlk512252948"/>
            <w:r>
              <w:rPr>
                <w:rFonts w:ascii="Times New Roman" w:hAnsi="Times New Roman"/>
                <w:b/>
                <w:bCs/>
                <w:color w:val="000000"/>
                <w:sz w:val="20"/>
                <w:szCs w:val="20"/>
              </w:rPr>
              <w:t xml:space="preserve">38.214 section 6.1 </w:t>
            </w:r>
          </w:p>
          <w:bookmarkEnd w:id="20"/>
          <w:p>
            <w:pPr>
              <w:snapToGrid w:val="0"/>
              <w:spacing w:before="180" w:beforeLines="50" w:after="10" w:line="240" w:lineRule="auto"/>
              <w:rPr>
                <w:rFonts w:ascii="Times New Roman" w:hAnsi="Times New Roman"/>
                <w:color w:val="000000"/>
                <w:sz w:val="20"/>
                <w:szCs w:val="20"/>
              </w:rPr>
            </w:pPr>
            <w:r>
              <w:rPr>
                <w:rFonts w:ascii="Times New Roman" w:hAnsi="Times New Roman"/>
                <w:color w:val="000000"/>
                <w:sz w:val="20"/>
                <w:szCs w:val="20"/>
              </w:rPr>
              <w:t>For PUSCH scheduled by DCI format 0_0 on a cell, the UE shall transmit PUSCH according to the spatial relation, if applicable, corresponding to the</w:t>
            </w:r>
            <w:r>
              <w:rPr>
                <w:rFonts w:ascii="Times New Roman" w:hAnsi="Times New Roman"/>
                <w:sz w:val="20"/>
                <w:szCs w:val="20"/>
              </w:rPr>
              <w:t xml:space="preserve"> dedicated </w:t>
            </w:r>
            <w:r>
              <w:rPr>
                <w:rFonts w:ascii="Times New Roman" w:hAnsi="Times New Roman"/>
                <w:color w:val="000000"/>
                <w:sz w:val="20"/>
                <w:szCs w:val="20"/>
              </w:rPr>
              <w:t xml:space="preserve">PUCCH resource with the lowest ID within the active UL BWP of the cell, as described in Clause 9.2.1 of [6, TS 38.213]. </w:t>
            </w:r>
          </w:p>
          <w:p>
            <w:pPr>
              <w:snapToGrid w:val="0"/>
              <w:spacing w:before="180" w:beforeLines="50" w:after="10" w:line="240" w:lineRule="auto"/>
              <w:rPr>
                <w:rFonts w:ascii="Times New Roman" w:hAnsi="Times New Roman"/>
                <w:sz w:val="20"/>
                <w:szCs w:val="20"/>
              </w:rPr>
            </w:pPr>
            <w:r>
              <w:rPr>
                <w:rFonts w:ascii="Times New Roman" w:hAnsi="Times New Roman"/>
                <w:color w:val="000000"/>
                <w:sz w:val="20"/>
                <w:szCs w:val="20"/>
              </w:rPr>
              <w:t xml:space="preserve">For PUSCH scheduled by DCI format 0_0 on a cell and if the higher layer parameter </w:t>
            </w:r>
            <w:r>
              <w:rPr>
                <w:rFonts w:ascii="Times New Roman" w:hAnsi="Times New Roman"/>
                <w:i/>
                <w:color w:val="000000"/>
                <w:sz w:val="20"/>
                <w:szCs w:val="20"/>
              </w:rPr>
              <w:t>enableDefaultBeamPL-ForPUSCH0-0</w:t>
            </w:r>
            <w:r>
              <w:rPr>
                <w:rFonts w:ascii="Times New Roman" w:hAnsi="Times New Roman"/>
                <w:color w:val="000000"/>
                <w:sz w:val="20"/>
                <w:szCs w:val="20"/>
              </w:rPr>
              <w:t xml:space="preserve"> is set 'enabled', the UE is not configured with PUCCH resources on the active UL BWP and the UE is in RRC connected mode, the UE shall transmit PUSCH according to the spatial relation, if applicable, with a reference to the RS </w:t>
            </w:r>
            <w:r>
              <w:rPr>
                <w:rFonts w:ascii="Times New Roman" w:hAnsi="Times New Roman"/>
                <w:sz w:val="20"/>
                <w:szCs w:val="20"/>
              </w:rPr>
              <w:t xml:space="preserve">configured with </w:t>
            </w:r>
            <w:r>
              <w:rPr>
                <w:rFonts w:ascii="Times New Roman" w:hAnsi="Times New Roman"/>
                <w:i/>
                <w:iCs/>
                <w:sz w:val="20"/>
                <w:szCs w:val="20"/>
              </w:rPr>
              <w:t>qcl-Type</w:t>
            </w:r>
            <w:r>
              <w:rPr>
                <w:rFonts w:ascii="Times New Roman" w:hAnsi="Times New Roman"/>
                <w:sz w:val="20"/>
                <w:szCs w:val="20"/>
              </w:rPr>
              <w:t xml:space="preserve"> set to</w:t>
            </w:r>
            <w:r>
              <w:rPr>
                <w:rFonts w:ascii="Times New Roman" w:hAnsi="Times New Roman"/>
                <w:color w:val="000000"/>
                <w:sz w:val="20"/>
                <w:szCs w:val="20"/>
              </w:rPr>
              <w:t xml:space="preserve"> 'typeD' corresponding to the</w:t>
            </w:r>
            <w:r>
              <w:rPr>
                <w:rFonts w:ascii="Times New Roman" w:hAnsi="Times New Roman"/>
                <w:sz w:val="20"/>
                <w:szCs w:val="20"/>
              </w:rPr>
              <w:t xml:space="preserve"> QCL assumption of the CORESET with the lowest ID on the active DL BWP of the cell. </w:t>
            </w:r>
          </w:p>
          <w:p>
            <w:pPr>
              <w:snapToGrid w:val="0"/>
              <w:spacing w:before="180" w:beforeLines="50" w:after="10" w:line="240" w:lineRule="auto"/>
              <w:rPr>
                <w:rFonts w:ascii="Times New Roman" w:hAnsi="Times New Roman"/>
                <w:i/>
                <w:iCs/>
                <w:sz w:val="20"/>
                <w:szCs w:val="20"/>
              </w:rPr>
            </w:pPr>
            <w:r>
              <w:rPr>
                <w:rFonts w:ascii="Times New Roman" w:hAnsi="Times New Roman"/>
                <w:color w:val="000000"/>
                <w:sz w:val="20"/>
                <w:szCs w:val="20"/>
              </w:rPr>
              <w:t xml:space="preserve">For PUSCH scheduled by DCI format 0_0 on a cell and if the higher layer parameter </w:t>
            </w:r>
            <w:r>
              <w:rPr>
                <w:rFonts w:ascii="Times New Roman" w:hAnsi="Times New Roman"/>
                <w:i/>
                <w:color w:val="000000"/>
                <w:sz w:val="20"/>
                <w:szCs w:val="20"/>
              </w:rPr>
              <w:t>enableDefaultBeamPL-ForPUSCH0</w:t>
            </w:r>
            <w:r>
              <w:rPr>
                <w:rFonts w:ascii="Times New Roman" w:hAnsi="Times New Roman"/>
                <w:color w:val="000000"/>
                <w:sz w:val="20"/>
                <w:szCs w:val="2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Pr>
                <w:rFonts w:ascii="Times New Roman" w:hAnsi="Times New Roman"/>
                <w:sz w:val="20"/>
                <w:szCs w:val="20"/>
              </w:rPr>
              <w:t xml:space="preserve">configured with </w:t>
            </w:r>
            <w:r>
              <w:rPr>
                <w:rFonts w:ascii="Times New Roman" w:hAnsi="Times New Roman"/>
                <w:i/>
                <w:iCs/>
                <w:sz w:val="20"/>
                <w:szCs w:val="20"/>
              </w:rPr>
              <w:t>qcl-Type</w:t>
            </w:r>
            <w:r>
              <w:rPr>
                <w:rFonts w:ascii="Times New Roman" w:hAnsi="Times New Roman"/>
                <w:sz w:val="20"/>
                <w:szCs w:val="20"/>
              </w:rPr>
              <w:t xml:space="preserve"> set to </w:t>
            </w:r>
            <w:r>
              <w:rPr>
                <w:rFonts w:ascii="Times New Roman" w:hAnsi="Times New Roman"/>
                <w:color w:val="000000"/>
                <w:sz w:val="20"/>
                <w:szCs w:val="20"/>
              </w:rPr>
              <w:t>'typeD' corresponding to the</w:t>
            </w:r>
            <w:r>
              <w:rPr>
                <w:rFonts w:ascii="Times New Roman" w:hAnsi="Times New Roman"/>
                <w:sz w:val="20"/>
                <w:szCs w:val="20"/>
              </w:rPr>
              <w:t xml:space="preserve"> QCL assumption of the CORESET with the lowest ID on the active DL BWP of the cell in case CORESET(s) are configured on the cell.</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Rel-17, </w:t>
      </w:r>
      <w:r>
        <w:rPr>
          <w:rFonts w:hint="eastAsia" w:ascii="Times New Roman" w:hAnsi="Times New Roman"/>
          <w:sz w:val="20"/>
          <w:szCs w:val="20"/>
        </w:rPr>
        <w:t xml:space="preserve">if two TCI states are activated for this CORESET, one of the TCI states </w:t>
      </w:r>
      <w:r>
        <w:rPr>
          <w:rFonts w:ascii="Times New Roman" w:hAnsi="Times New Roman"/>
          <w:sz w:val="20"/>
          <w:szCs w:val="20"/>
        </w:rPr>
        <w:t>can</w:t>
      </w:r>
      <w:r>
        <w:rPr>
          <w:rFonts w:hint="eastAsia" w:ascii="Times New Roman" w:hAnsi="Times New Roman"/>
          <w:sz w:val="20"/>
          <w:szCs w:val="20"/>
        </w:rPr>
        <w:t xml:space="preserve"> be </w:t>
      </w:r>
      <w:r>
        <w:rPr>
          <w:rFonts w:ascii="Times New Roman" w:hAnsi="Times New Roman"/>
          <w:sz w:val="20"/>
          <w:szCs w:val="20"/>
        </w:rPr>
        <w:t xml:space="preserve">naturally </w:t>
      </w:r>
      <w:r>
        <w:rPr>
          <w:rFonts w:hint="eastAsia" w:ascii="Times New Roman" w:hAnsi="Times New Roman"/>
          <w:sz w:val="20"/>
          <w:szCs w:val="20"/>
        </w:rPr>
        <w:t>used as the default spatial relation of PUSCH transmission</w:t>
      </w:r>
      <w:r>
        <w:rPr>
          <w:rFonts w:ascii="Times New Roman" w:hAnsi="Times New Roman"/>
          <w:sz w:val="20"/>
          <w:szCs w:val="20"/>
        </w:rPr>
        <w:t xml:space="preserve"> especially when PUSCH repetition is not configured</w:t>
      </w:r>
      <w:r>
        <w:rPr>
          <w:rFonts w:hint="eastAsia" w:ascii="Times New Roman" w:hAnsi="Times New Roman"/>
          <w:sz w:val="20"/>
          <w:szCs w:val="20"/>
        </w:rPr>
        <w:t xml:space="preserve">. </w:t>
      </w:r>
      <w:r>
        <w:rPr>
          <w:rFonts w:ascii="Times New Roman" w:hAnsi="Times New Roman"/>
          <w:sz w:val="20"/>
          <w:szCs w:val="20"/>
        </w:rPr>
        <w:t xml:space="preserve">For simplicity, </w:t>
      </w:r>
      <w:r>
        <w:rPr>
          <w:rFonts w:hint="eastAsia" w:ascii="Times New Roman" w:hAnsi="Times New Roman"/>
          <w:sz w:val="20"/>
          <w:szCs w:val="20"/>
        </w:rPr>
        <w:t xml:space="preserve">the first one of the two TCI states </w:t>
      </w:r>
      <w:r>
        <w:rPr>
          <w:rFonts w:ascii="Times New Roman" w:hAnsi="Times New Roman"/>
          <w:sz w:val="20"/>
          <w:szCs w:val="20"/>
        </w:rPr>
        <w:t>can be used.</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If</w:t>
      </w:r>
      <w:r>
        <w:rPr>
          <w:rFonts w:hint="eastAsia" w:ascii="Times New Roman" w:hAnsi="Times New Roman"/>
          <w:sz w:val="20"/>
          <w:szCs w:val="20"/>
        </w:rPr>
        <w:t xml:space="preserve"> PUSCH repetition</w:t>
      </w:r>
      <w:r>
        <w:rPr>
          <w:rFonts w:ascii="Times New Roman" w:hAnsi="Times New Roman"/>
          <w:sz w:val="20"/>
          <w:szCs w:val="20"/>
        </w:rPr>
        <w:t xml:space="preserve"> (i.e. repetition</w:t>
      </w:r>
      <w:r>
        <w:rPr>
          <w:rFonts w:hint="eastAsia" w:ascii="Times New Roman" w:hAnsi="Times New Roman"/>
          <w:sz w:val="20"/>
          <w:szCs w:val="20"/>
        </w:rPr>
        <w:t xml:space="preserve"> type A</w:t>
      </w:r>
      <w:r>
        <w:rPr>
          <w:rFonts w:ascii="Times New Roman" w:hAnsi="Times New Roman"/>
          <w:sz w:val="20"/>
          <w:szCs w:val="20"/>
        </w:rPr>
        <w:t>) is</w:t>
      </w:r>
      <w:r>
        <w:rPr>
          <w:rFonts w:hint="eastAsia" w:ascii="Times New Roman" w:hAnsi="Times New Roman"/>
          <w:sz w:val="20"/>
          <w:szCs w:val="20"/>
        </w:rPr>
        <w:t xml:space="preserve"> scheduled by DCI format 0_0, the two TCI states of the CORESET with the lowest ID can be used </w:t>
      </w:r>
      <w:r>
        <w:rPr>
          <w:rFonts w:ascii="Times New Roman" w:hAnsi="Times New Roman"/>
          <w:sz w:val="20"/>
          <w:szCs w:val="20"/>
        </w:rPr>
        <w:t xml:space="preserve">to determine the spatial relation of </w:t>
      </w:r>
      <w:r>
        <w:rPr>
          <w:rFonts w:hint="eastAsia" w:ascii="Times New Roman" w:hAnsi="Times New Roman"/>
          <w:sz w:val="20"/>
          <w:szCs w:val="20"/>
        </w:rPr>
        <w:t>different PUSCH transmission occasion groups.</w:t>
      </w:r>
      <w:r>
        <w:rPr>
          <w:rFonts w:ascii="Times New Roman" w:hAnsi="Times New Roman"/>
          <w:sz w:val="20"/>
          <w:szCs w:val="20"/>
        </w:rPr>
        <w:t xml:space="preserve"> Then, MTRP PUSCH can be supported in such case. The mapping between the spatial relations and PUSCH transmission occasions can rely on whether ‘cyclic’ or ‘sequential’ beam mapping is configured by RRC signaling as discussed in section 8.1.2.1.</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Based on above analysis, we make the following proposal:</w:t>
      </w:r>
    </w:p>
    <w:p>
      <w:pPr>
        <w:snapToGrid w:val="0"/>
        <w:spacing w:before="0" w:beforeLines="-2147483648" w:after="0" w:afterLines="-2147483648" w:line="240" w:lineRule="auto"/>
        <w:jc w:val="both"/>
        <w:rPr>
          <w:rFonts w:ascii="Times New Roman" w:hAnsi="Times New Roman"/>
          <w:i/>
          <w:iCs/>
          <w:sz w:val="20"/>
          <w:szCs w:val="20"/>
        </w:rPr>
      </w:pPr>
      <w:r>
        <w:rPr>
          <w:rFonts w:hint="eastAsia" w:ascii="Times New Roman" w:hAnsi="Times New Roman"/>
          <w:b/>
          <w:bCs/>
          <w:i/>
          <w:iCs/>
          <w:sz w:val="20"/>
          <w:szCs w:val="20"/>
        </w:rPr>
        <w:t>Proposal 10:</w:t>
      </w:r>
      <w:r>
        <w:rPr>
          <w:rFonts w:ascii="Times New Roman" w:hAnsi="Times New Roman"/>
          <w:b/>
          <w:bCs/>
          <w:i/>
          <w:iCs/>
          <w:sz w:val="20"/>
          <w:szCs w:val="20"/>
        </w:rPr>
        <w:t xml:space="preserve"> </w:t>
      </w:r>
      <w:r>
        <w:rPr>
          <w:rFonts w:ascii="Times New Roman" w:hAnsi="Times New Roman"/>
          <w:bCs/>
          <w:i/>
          <w:iCs/>
          <w:sz w:val="20"/>
          <w:szCs w:val="20"/>
        </w:rPr>
        <w:t xml:space="preserve">When the default spatial relation of PUSCH is determined by QCL assumption of CORESET with lowest ID, and </w:t>
      </w:r>
      <w:r>
        <w:rPr>
          <w:rFonts w:hint="eastAsia" w:ascii="Times New Roman" w:hAnsi="Times New Roman"/>
          <w:i/>
          <w:iCs/>
          <w:sz w:val="20"/>
          <w:szCs w:val="20"/>
        </w:rPr>
        <w:t>two TCI states are activated for the CORESET</w:t>
      </w:r>
      <w:r>
        <w:rPr>
          <w:rFonts w:ascii="Times New Roman" w:hAnsi="Times New Roman"/>
          <w:i/>
          <w:iCs/>
          <w:sz w:val="20"/>
          <w:szCs w:val="20"/>
        </w:rPr>
        <w:t>,</w:t>
      </w:r>
    </w:p>
    <w:p>
      <w:pPr>
        <w:numPr>
          <w:ilvl w:val="0"/>
          <w:numId w:val="17"/>
        </w:numPr>
        <w:snapToGrid w:val="0"/>
        <w:spacing w:before="0" w:beforeLines="-2147483648" w:after="0" w:afterLines="-2147483648" w:line="240" w:lineRule="auto"/>
        <w:ind w:left="840" w:hanging="420"/>
        <w:jc w:val="both"/>
        <w:rPr>
          <w:rFonts w:ascii="Times New Roman" w:hAnsi="Times New Roman"/>
          <w:i/>
          <w:iCs/>
          <w:sz w:val="20"/>
          <w:szCs w:val="20"/>
        </w:rPr>
      </w:pPr>
      <w:r>
        <w:rPr>
          <w:rFonts w:hint="eastAsia" w:ascii="Times New Roman" w:hAnsi="Times New Roman"/>
          <w:i/>
          <w:iCs/>
          <w:sz w:val="20"/>
          <w:szCs w:val="20"/>
        </w:rPr>
        <w:t>If PUSCH repetition is not configured, the first one of the two TCI states activated for the CORESET with the lowest ID is used as the default spatial relation.</w:t>
      </w:r>
    </w:p>
    <w:p>
      <w:pPr>
        <w:numPr>
          <w:ilvl w:val="0"/>
          <w:numId w:val="17"/>
        </w:numPr>
        <w:snapToGrid w:val="0"/>
        <w:spacing w:before="0" w:beforeLines="-2147483648" w:after="0" w:afterLines="-2147483648" w:line="240" w:lineRule="auto"/>
        <w:ind w:left="840" w:hanging="420"/>
        <w:jc w:val="both"/>
        <w:rPr>
          <w:rFonts w:ascii="Times New Roman" w:hAnsi="Times New Roman"/>
          <w:sz w:val="20"/>
          <w:szCs w:val="20"/>
        </w:rPr>
      </w:pPr>
      <w:r>
        <w:rPr>
          <w:rFonts w:hint="eastAsia" w:ascii="Times New Roman" w:hAnsi="Times New Roman"/>
          <w:i/>
          <w:iCs/>
          <w:sz w:val="20"/>
          <w:szCs w:val="20"/>
        </w:rPr>
        <w:t>If PUSCH repetition is configured, the two TCI states activated for the CORESET with the lowest ID are used as the default spatial relation, and each TCI state is associated to one PUSCH transmission occasion group.</w:t>
      </w:r>
    </w:p>
    <w:p>
      <w:pPr>
        <w:pStyle w:val="3"/>
        <w:numPr>
          <w:ilvl w:val="1"/>
          <w:numId w:val="4"/>
        </w:numPr>
        <w:snapToGrid w:val="0"/>
        <w:spacing w:before="180" w:beforeLines="50" w:after="180" w:afterLines="50"/>
        <w:rPr>
          <w:rFonts w:ascii="Arial" w:hAnsi="Arial" w:cs="Arial"/>
          <w:sz w:val="24"/>
          <w:szCs w:val="24"/>
          <w:lang w:val="en-US"/>
        </w:rPr>
      </w:pPr>
      <w:r>
        <w:rPr>
          <w:rFonts w:ascii="Arial" w:hAnsi="Arial" w:cs="Arial"/>
          <w:sz w:val="24"/>
          <w:szCs w:val="24"/>
          <w:lang w:val="en-US"/>
        </w:rPr>
        <w:t xml:space="preserve">Default </w:t>
      </w:r>
      <w:r>
        <w:rPr>
          <w:rFonts w:hint="eastAsia" w:ascii="Arial" w:hAnsi="Arial" w:cs="Arial"/>
          <w:sz w:val="24"/>
          <w:szCs w:val="24"/>
          <w:lang w:val="en-US"/>
        </w:rPr>
        <w:t>PL-RS for UL transmission</w:t>
      </w:r>
    </w:p>
    <w:p>
      <w:pPr>
        <w:pStyle w:val="4"/>
        <w:numPr>
          <w:ilvl w:val="0"/>
          <w:numId w:val="0"/>
        </w:numPr>
        <w:snapToGrid w:val="0"/>
        <w:spacing w:before="180" w:beforeLines="50" w:after="180" w:afterLines="50" w:line="240" w:lineRule="auto"/>
        <w:ind w:left="720" w:hanging="720"/>
        <w:rPr>
          <w:rFonts w:ascii="Times New Roman" w:hAnsi="Times New Roman"/>
          <w:sz w:val="24"/>
          <w:szCs w:val="24"/>
          <w:lang w:val="en-US"/>
        </w:rPr>
      </w:pPr>
      <w:r>
        <w:rPr>
          <w:rFonts w:hint="eastAsia" w:ascii="Times New Roman" w:hAnsi="Times New Roman"/>
          <w:sz w:val="24"/>
          <w:szCs w:val="24"/>
          <w:lang w:val="en-US"/>
        </w:rPr>
        <w:t xml:space="preserve">2.4.1 </w:t>
      </w:r>
      <w:r>
        <w:rPr>
          <w:rFonts w:ascii="Times New Roman" w:hAnsi="Times New Roman"/>
          <w:sz w:val="24"/>
          <w:szCs w:val="24"/>
          <w:lang w:val="en-US"/>
        </w:rPr>
        <w:t>For P</w:t>
      </w:r>
      <w:r>
        <w:rPr>
          <w:rFonts w:hint="eastAsia" w:ascii="Times New Roman" w:hAnsi="Times New Roman"/>
          <w:sz w:val="24"/>
          <w:szCs w:val="24"/>
          <w:lang w:val="en-US"/>
        </w:rPr>
        <w:t>UC</w:t>
      </w:r>
      <w:r>
        <w:rPr>
          <w:rFonts w:ascii="Times New Roman" w:hAnsi="Times New Roman"/>
          <w:sz w:val="24"/>
          <w:szCs w:val="24"/>
          <w:lang w:val="en-US"/>
        </w:rPr>
        <w:t>CH</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Rel-16, t</w:t>
      </w:r>
      <w:r>
        <w:rPr>
          <w:rFonts w:hint="eastAsia" w:ascii="Times New Roman" w:hAnsi="Times New Roman"/>
          <w:sz w:val="20"/>
          <w:szCs w:val="20"/>
        </w:rPr>
        <w:t xml:space="preserve">he default PL-RS for PUCCH is described as </w:t>
      </w:r>
      <w:r>
        <w:rPr>
          <w:rFonts w:ascii="Times New Roman" w:hAnsi="Times New Roman"/>
          <w:sz w:val="20"/>
          <w:szCs w:val="20"/>
        </w:rPr>
        <w:t xml:space="preserve">below. That is, </w:t>
      </w:r>
      <w:r>
        <w:rPr>
          <w:rFonts w:hint="eastAsia" w:ascii="Times New Roman" w:hAnsi="Times New Roman"/>
          <w:sz w:val="20"/>
          <w:szCs w:val="20"/>
        </w:rPr>
        <w:t>in the case of PL-RS and PUCCH spatial relation information is not configured</w:t>
      </w:r>
      <w:r>
        <w:rPr>
          <w:rFonts w:ascii="Times New Roman" w:hAnsi="Times New Roman"/>
          <w:sz w:val="20"/>
          <w:szCs w:val="20"/>
        </w:rPr>
        <w:t xml:space="preserve"> for</w:t>
      </w:r>
      <w:r>
        <w:rPr>
          <w:rFonts w:hint="eastAsia" w:ascii="Times New Roman" w:hAnsi="Times New Roman"/>
          <w:sz w:val="20"/>
          <w:szCs w:val="20"/>
        </w:rPr>
        <w:t xml:space="preserve"> PUCCH, the RS resource configured in the CORESET with the lowest index in the active DL BWP should be used as the default PL-RS of this PUCCH transmission.</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80"/>
              <w:snapToGrid w:val="0"/>
              <w:spacing w:before="180" w:beforeLines="50" w:afterLines="50"/>
              <w:ind w:left="0" w:firstLine="0"/>
              <w:rPr>
                <w:rFonts w:eastAsia="宋体"/>
                <w:b/>
                <w:bCs/>
                <w:lang w:val="en-US" w:eastAsia="zh-CN"/>
              </w:rPr>
            </w:pPr>
            <w:r>
              <w:rPr>
                <w:rFonts w:eastAsia="宋体"/>
                <w:b/>
                <w:bCs/>
                <w:lang w:val="en-US" w:eastAsia="zh-CN"/>
              </w:rPr>
              <w:t>38.213 section 7.2.1</w:t>
            </w:r>
          </w:p>
          <w:p>
            <w:pPr>
              <w:pStyle w:val="80"/>
              <w:snapToGrid w:val="0"/>
              <w:spacing w:before="180" w:beforeLines="50" w:afterLines="50"/>
              <w:ind w:left="0" w:firstLine="0"/>
            </w:pPr>
            <w:r>
              <w:t>If the UE</w:t>
            </w:r>
          </w:p>
          <w:p>
            <w:pPr>
              <w:pStyle w:val="81"/>
              <w:snapToGrid w:val="0"/>
              <w:spacing w:before="180" w:beforeLines="50" w:afterLines="50"/>
              <w:ind w:left="283" w:firstLine="0"/>
              <w:rPr>
                <w:lang w:val="en-US"/>
              </w:rPr>
            </w:pPr>
            <w:r>
              <w:t>-</w:t>
            </w:r>
            <w:r>
              <w:tab/>
            </w:r>
            <w:r>
              <w:t xml:space="preserve">is not provided </w:t>
            </w:r>
            <w:r>
              <w:rPr>
                <w:i/>
              </w:rPr>
              <w:t>pathlossReferenceRSs</w:t>
            </w:r>
            <w:r>
              <w:rPr>
                <w:lang w:val="en-US"/>
              </w:rPr>
              <w:t>, and</w:t>
            </w:r>
          </w:p>
          <w:p>
            <w:pPr>
              <w:pStyle w:val="81"/>
              <w:snapToGrid w:val="0"/>
              <w:spacing w:before="180" w:beforeLines="50" w:afterLines="50"/>
              <w:ind w:left="283" w:firstLine="0"/>
              <w:rPr>
                <w:lang w:val="en-US"/>
              </w:rPr>
            </w:pPr>
            <w:r>
              <w:t>-</w:t>
            </w:r>
            <w:r>
              <w:tab/>
            </w:r>
            <w:r>
              <w:t>is not provided</w:t>
            </w:r>
            <w:r>
              <w:rPr>
                <w:lang w:eastAsia="zh-CN"/>
              </w:rPr>
              <w:t xml:space="preserve"> </w:t>
            </w:r>
            <w:r>
              <w:rPr>
                <w:i/>
                <w:iCs/>
              </w:rPr>
              <w:t xml:space="preserve">PUCCH-SpatialRelationInfo, </w:t>
            </w:r>
            <w:r>
              <w:t>and</w:t>
            </w:r>
          </w:p>
          <w:p>
            <w:pPr>
              <w:pStyle w:val="81"/>
              <w:snapToGrid w:val="0"/>
              <w:spacing w:before="180" w:beforeLines="50" w:afterLines="50"/>
              <w:ind w:left="283" w:firstLine="0"/>
            </w:pPr>
            <w:r>
              <w:t>-</w:t>
            </w:r>
            <w:r>
              <w:tab/>
            </w:r>
            <w:r>
              <w:rPr>
                <w:lang w:val="en-US"/>
              </w:rPr>
              <w:t xml:space="preserve">is provided </w:t>
            </w:r>
            <w:r>
              <w:rPr>
                <w:i/>
                <w:lang w:val="en-US"/>
              </w:rPr>
              <w:t>enableDefaultBeamPL-ForPUCCH</w:t>
            </w:r>
            <w:r>
              <w:rPr>
                <w:lang w:val="en-US"/>
              </w:rPr>
              <w:t>, and</w:t>
            </w:r>
            <w:r>
              <w:t xml:space="preserve"> </w:t>
            </w:r>
          </w:p>
          <w:p>
            <w:pPr>
              <w:pStyle w:val="81"/>
              <w:snapToGrid w:val="0"/>
              <w:spacing w:before="180" w:beforeLines="50" w:afterLines="50"/>
              <w:ind w:left="283" w:firstLine="0"/>
            </w:pPr>
            <w:r>
              <w:t>-</w:t>
            </w:r>
            <w:r>
              <w:tab/>
            </w:r>
            <w:r>
              <w:t xml:space="preserve">is not provided </w:t>
            </w:r>
            <w:r>
              <w:rPr>
                <w:rStyle w:val="32"/>
                <w:rFonts w:eastAsia="Batang"/>
              </w:rPr>
              <w:t>coresetPoolIndex</w:t>
            </w:r>
            <w:r>
              <w:t xml:space="preserve"> value of 1 for any CORESET, or is provided </w:t>
            </w:r>
            <w:r>
              <w:rPr>
                <w:rStyle w:val="32"/>
                <w:rFonts w:eastAsia="Batang"/>
              </w:rPr>
              <w:t>coresetPoolIndex</w:t>
            </w:r>
            <w:r>
              <w:t> value of 1 for all CORESETs, in </w:t>
            </w:r>
            <w:r>
              <w:rPr>
                <w:rStyle w:val="32"/>
                <w:rFonts w:eastAsia="Batang"/>
              </w:rPr>
              <w:t>ControlResourceSet </w:t>
            </w:r>
            <w:r>
              <w:t xml:space="preserve">and no codepoint of a TCI field, if any, in a DCI format of any search space set maps to two TCI states [5, TS 38.212] </w:t>
            </w:r>
          </w:p>
          <w:p>
            <w:pPr>
              <w:pStyle w:val="81"/>
              <w:snapToGrid w:val="0"/>
              <w:spacing w:before="180" w:beforeLines="50" w:afterLines="50"/>
              <w:ind w:left="283" w:firstLine="0"/>
              <w:rPr>
                <w:lang w:val="en-US" w:eastAsia="zh-CN"/>
              </w:rPr>
            </w:pPr>
            <w:r>
              <w:tab/>
            </w:r>
            <w:r>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ctrlPr>
                    <w:rPr>
                      <w:rFonts w:ascii="Cambria Math" w:hAnsi="Cambria Math"/>
                      <w:i/>
                      <w:lang w:val="en-US" w:eastAsia="zh-CN"/>
                    </w:rPr>
                  </m:ctrlPr>
                </m:e>
                <m:sub>
                  <m:r>
                    <w:rPr>
                      <w:rFonts w:ascii="Cambria Math" w:hAnsi="Cambria Math"/>
                      <w:lang w:val="en-US" w:eastAsia="zh-CN"/>
                    </w:rPr>
                    <m:t>d</m:t>
                  </m:r>
                  <m:ctrlPr>
                    <w:rPr>
                      <w:rFonts w:ascii="Cambria Math" w:hAnsi="Cambria Math"/>
                      <w:i/>
                      <w:lang w:val="en-US" w:eastAsia="zh-CN"/>
                    </w:rPr>
                  </m:ctrlPr>
                </m:sub>
              </m:sSub>
            </m:oMath>
            <w:r>
              <w:t xml:space="preserve"> providing a </w:t>
            </w:r>
            <w:r>
              <w:rPr>
                <w:lang w:val="en-US"/>
              </w:rPr>
              <w:t xml:space="preserve">periodic </w:t>
            </w:r>
            <w:r>
              <w:t xml:space="preserve">RS resource configured with with </w:t>
            </w:r>
            <w:r>
              <w:rPr>
                <w:i/>
                <w:iCs/>
              </w:rPr>
              <w:t>qcl-Type</w:t>
            </w:r>
            <w:r>
              <w:t xml:space="preserve"> set to </w:t>
            </w:r>
            <w:r>
              <w:rPr>
                <w:lang w:val="en-US"/>
              </w:rPr>
              <w:t>'</w:t>
            </w:r>
            <w:r>
              <w:t>typeD' in the TCI state or the QCL assumption of a CORESET with the lowest index in the active DL BWP of the primary cell. For</w:t>
            </w:r>
            <w:r>
              <w:rPr>
                <w:lang w:val="en-US"/>
              </w:rPr>
              <w:t xml:space="preserve"> a</w:t>
            </w:r>
            <w:r>
              <w:t xml:space="preserve"> PUCCH</w:t>
            </w:r>
            <w:r>
              <w:rPr>
                <w:lang w:val="en-US"/>
              </w:rPr>
              <w:t xml:space="preserve"> transmission over multiple slots</w:t>
            </w:r>
            <w: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ctrlPr>
                    <w:rPr>
                      <w:rFonts w:ascii="Cambria Math" w:hAnsi="Cambria Math"/>
                      <w:i/>
                      <w:lang w:val="en-US" w:eastAsia="zh-CN"/>
                    </w:rPr>
                  </m:ctrlPr>
                </m:e>
                <m:sub>
                  <m:r>
                    <w:rPr>
                      <w:rFonts w:ascii="Cambria Math" w:hAnsi="Cambria Math"/>
                      <w:lang w:val="en-US" w:eastAsia="zh-CN"/>
                    </w:rPr>
                    <m:t>d</m:t>
                  </m:r>
                  <m:ctrlPr>
                    <w:rPr>
                      <w:rFonts w:ascii="Cambria Math" w:hAnsi="Cambria Math"/>
                      <w:i/>
                      <w:lang w:val="en-US" w:eastAsia="zh-CN"/>
                    </w:rPr>
                  </m:ctrlPr>
                </m:sub>
              </m:sSub>
            </m:oMath>
            <w:r>
              <w:t xml:space="preserve"> applies to </w:t>
            </w:r>
            <w:r>
              <w:rPr>
                <w:lang w:val="en-US"/>
              </w:rPr>
              <w:t>the</w:t>
            </w:r>
            <w:r>
              <w:t xml:space="preserve"> PUCCH transmission</w:t>
            </w:r>
            <w:r>
              <w:rPr>
                <w:lang w:val="en-US"/>
              </w:rPr>
              <w:t xml:space="preserve"> in each of the multiple slots</w:t>
            </w:r>
            <w:r>
              <w:t>.</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Rel-17, i</w:t>
      </w:r>
      <w:r>
        <w:rPr>
          <w:rFonts w:hint="eastAsia" w:ascii="Times New Roman" w:hAnsi="Times New Roman"/>
          <w:sz w:val="20"/>
          <w:szCs w:val="20"/>
        </w:rPr>
        <w:t xml:space="preserve">f two TCI states are activated for the CORESET with the lowest index, </w:t>
      </w:r>
      <w:r>
        <w:rPr>
          <w:rFonts w:ascii="Times New Roman" w:hAnsi="Times New Roman"/>
          <w:sz w:val="20"/>
          <w:szCs w:val="20"/>
        </w:rPr>
        <w:t xml:space="preserve">solutions similar to default spatial relation determination can be used for default PL-RS of PUCCH. </w:t>
      </w:r>
    </w:p>
    <w:p>
      <w:pPr>
        <w:snapToGrid w:val="0"/>
        <w:spacing w:after="0" w:line="240" w:lineRule="auto"/>
        <w:jc w:val="both"/>
        <w:rPr>
          <w:rFonts w:ascii="Times New Roman" w:hAnsi="Times New Roman"/>
          <w:sz w:val="20"/>
          <w:szCs w:val="20"/>
        </w:rPr>
      </w:pPr>
      <w:r>
        <w:rPr>
          <w:rFonts w:hint="eastAsia" w:ascii="Times New Roman" w:hAnsi="Times New Roman"/>
          <w:b/>
          <w:bCs/>
          <w:i/>
          <w:iCs/>
          <w:sz w:val="20"/>
          <w:szCs w:val="20"/>
        </w:rPr>
        <w:t>Proposal 11:</w:t>
      </w:r>
      <w:r>
        <w:rPr>
          <w:rFonts w:ascii="Times New Roman" w:hAnsi="Times New Roman"/>
          <w:b/>
          <w:bCs/>
          <w:i/>
          <w:iCs/>
          <w:sz w:val="20"/>
          <w:szCs w:val="20"/>
        </w:rPr>
        <w:t xml:space="preserve"> </w:t>
      </w:r>
      <w:r>
        <w:rPr>
          <w:rFonts w:ascii="Times New Roman" w:hAnsi="Times New Roman"/>
          <w:i/>
          <w:iCs/>
          <w:sz w:val="20"/>
          <w:szCs w:val="20"/>
        </w:rPr>
        <w:t xml:space="preserve">When default PL-RS of the PUCCH is determined by the QCL RS of a CORESET with the lowest index, and </w:t>
      </w:r>
      <w:r>
        <w:rPr>
          <w:rFonts w:hint="eastAsia" w:ascii="Times New Roman" w:hAnsi="Times New Roman"/>
          <w:i/>
          <w:iCs/>
          <w:sz w:val="20"/>
          <w:szCs w:val="20"/>
        </w:rPr>
        <w:t>two TCI states are activated for the CORESET</w:t>
      </w:r>
      <w:r>
        <w:rPr>
          <w:rFonts w:ascii="Times New Roman" w:hAnsi="Times New Roman"/>
          <w:i/>
          <w:iCs/>
          <w:sz w:val="20"/>
          <w:szCs w:val="20"/>
        </w:rPr>
        <w:t xml:space="preserve">, </w:t>
      </w:r>
    </w:p>
    <w:p>
      <w:pPr>
        <w:numPr>
          <w:ilvl w:val="0"/>
          <w:numId w:val="17"/>
        </w:numPr>
        <w:snapToGrid w:val="0"/>
        <w:spacing w:after="0" w:line="240" w:lineRule="auto"/>
        <w:jc w:val="both"/>
        <w:rPr>
          <w:rFonts w:ascii="Times New Roman" w:hAnsi="Times New Roman"/>
          <w:i/>
          <w:iCs/>
          <w:sz w:val="20"/>
          <w:szCs w:val="20"/>
        </w:rPr>
      </w:pPr>
      <w:r>
        <w:rPr>
          <w:rFonts w:hint="eastAsia" w:ascii="Times New Roman" w:hAnsi="Times New Roman"/>
          <w:i/>
          <w:iCs/>
          <w:sz w:val="20"/>
          <w:szCs w:val="20"/>
        </w:rPr>
        <w:t>If PUCCH repetition is not configured, the first one of the two TCI states activated for the CORESET with the lowest ID is used</w:t>
      </w:r>
      <w:r>
        <w:rPr>
          <w:rFonts w:ascii="Times New Roman" w:hAnsi="Times New Roman"/>
          <w:i/>
          <w:iCs/>
          <w:sz w:val="20"/>
          <w:szCs w:val="20"/>
        </w:rPr>
        <w:t xml:space="preserve"> to determine the PL-RS of PUCCH transmission</w:t>
      </w:r>
      <w:r>
        <w:rPr>
          <w:rFonts w:hint="eastAsia" w:ascii="Times New Roman" w:hAnsi="Times New Roman"/>
          <w:i/>
          <w:iCs/>
          <w:sz w:val="20"/>
          <w:szCs w:val="20"/>
        </w:rPr>
        <w:t>.</w:t>
      </w:r>
    </w:p>
    <w:p>
      <w:pPr>
        <w:numPr>
          <w:ilvl w:val="0"/>
          <w:numId w:val="17"/>
        </w:numPr>
        <w:snapToGrid w:val="0"/>
        <w:spacing w:after="0" w:line="240" w:lineRule="auto"/>
        <w:jc w:val="both"/>
        <w:rPr>
          <w:rFonts w:ascii="Times New Roman" w:hAnsi="Times New Roman"/>
          <w:i/>
          <w:iCs/>
          <w:sz w:val="20"/>
          <w:szCs w:val="20"/>
        </w:rPr>
      </w:pPr>
      <w:r>
        <w:rPr>
          <w:rFonts w:hint="eastAsia" w:ascii="Times New Roman" w:hAnsi="Times New Roman"/>
          <w:i/>
          <w:iCs/>
          <w:sz w:val="20"/>
          <w:szCs w:val="20"/>
        </w:rPr>
        <w:t>If PUCCH repetition is configured, the two TCI states activated for the CORESET with the lowest ID are used</w:t>
      </w:r>
      <w:r>
        <w:rPr>
          <w:rFonts w:ascii="Times New Roman" w:hAnsi="Times New Roman"/>
          <w:i/>
          <w:iCs/>
          <w:sz w:val="20"/>
          <w:szCs w:val="20"/>
        </w:rPr>
        <w:t xml:space="preserve"> to determine the PL-RS of PUCCH transmission occasions</w:t>
      </w:r>
      <w:r>
        <w:rPr>
          <w:rFonts w:hint="eastAsia" w:ascii="Times New Roman" w:hAnsi="Times New Roman"/>
          <w:i/>
          <w:iCs/>
          <w:sz w:val="20"/>
          <w:szCs w:val="20"/>
        </w:rPr>
        <w:t>, and each TCI state is associated to one PUCCH transmission occasion group.</w:t>
      </w:r>
    </w:p>
    <w:p>
      <w:pPr>
        <w:pStyle w:val="4"/>
        <w:numPr>
          <w:ilvl w:val="0"/>
          <w:numId w:val="0"/>
        </w:numPr>
        <w:snapToGrid w:val="0"/>
        <w:spacing w:before="180" w:beforeLines="50" w:after="180" w:afterLines="50" w:line="240" w:lineRule="auto"/>
        <w:rPr>
          <w:rFonts w:ascii="Times New Roman" w:hAnsi="Times New Roman"/>
          <w:sz w:val="24"/>
          <w:szCs w:val="24"/>
          <w:lang w:val="en-US"/>
        </w:rPr>
      </w:pPr>
      <w:r>
        <w:rPr>
          <w:rFonts w:hint="eastAsia" w:ascii="Times New Roman" w:hAnsi="Times New Roman"/>
          <w:sz w:val="24"/>
          <w:szCs w:val="24"/>
          <w:lang w:val="en-US"/>
        </w:rPr>
        <w:t xml:space="preserve">2.4.2 </w:t>
      </w:r>
      <w:r>
        <w:rPr>
          <w:rFonts w:ascii="Times New Roman" w:hAnsi="Times New Roman"/>
          <w:sz w:val="24"/>
          <w:szCs w:val="24"/>
          <w:lang w:val="en-US"/>
        </w:rPr>
        <w:t>For P</w:t>
      </w:r>
      <w:r>
        <w:rPr>
          <w:rFonts w:hint="eastAsia" w:ascii="Times New Roman" w:hAnsi="Times New Roman"/>
          <w:sz w:val="24"/>
          <w:szCs w:val="24"/>
          <w:lang w:val="en-US"/>
        </w:rPr>
        <w:t>US</w:t>
      </w:r>
      <w:r>
        <w:rPr>
          <w:rFonts w:ascii="Times New Roman" w:hAnsi="Times New Roman"/>
          <w:sz w:val="24"/>
          <w:szCs w:val="24"/>
          <w:lang w:val="en-US"/>
        </w:rPr>
        <w:t>CH</w:t>
      </w:r>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In Rel-16, the</w:t>
      </w:r>
      <w:r>
        <w:rPr>
          <w:rFonts w:hint="eastAsia" w:ascii="Times New Roman" w:hAnsi="Times New Roman"/>
          <w:iCs/>
          <w:sz w:val="20"/>
          <w:szCs w:val="20"/>
        </w:rPr>
        <w:t xml:space="preserve"> default PL-RS</w:t>
      </w:r>
      <w:r>
        <w:rPr>
          <w:rFonts w:ascii="Times New Roman" w:hAnsi="Times New Roman"/>
          <w:iCs/>
          <w:sz w:val="20"/>
          <w:szCs w:val="20"/>
        </w:rPr>
        <w:t xml:space="preserve"> of PUSCH is described as below.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80"/>
              <w:snapToGrid w:val="0"/>
              <w:spacing w:before="180" w:beforeLines="50" w:afterLines="50"/>
              <w:ind w:left="0" w:firstLine="0"/>
              <w:rPr>
                <w:rFonts w:eastAsia="宋体"/>
                <w:b/>
                <w:bCs/>
                <w:lang w:val="en-US" w:eastAsia="zh-CN"/>
              </w:rPr>
            </w:pPr>
            <w:r>
              <w:rPr>
                <w:rFonts w:hint="eastAsia" w:eastAsia="宋体"/>
                <w:b/>
                <w:bCs/>
                <w:lang w:val="en-US" w:eastAsia="zh-CN"/>
              </w:rPr>
              <w:t>38.213 section 7.1.1</w:t>
            </w:r>
          </w:p>
          <w:p>
            <w:pPr>
              <w:pStyle w:val="80"/>
              <w:snapToGrid w:val="0"/>
              <w:spacing w:before="180" w:beforeLines="50" w:afterLines="50"/>
              <w:ind w:left="0" w:firstLine="0"/>
            </w:pPr>
            <w:r>
              <w:t xml:space="preserve">-If </w:t>
            </w:r>
          </w:p>
          <w:p>
            <w:pPr>
              <w:pStyle w:val="81"/>
              <w:snapToGrid w:val="0"/>
              <w:spacing w:before="180" w:beforeLines="50" w:afterLines="50"/>
              <w:ind w:left="283" w:firstLine="0"/>
              <w:rPr>
                <w:lang w:val="en-US"/>
              </w:rPr>
            </w:pPr>
            <w:r>
              <w:t>-</w:t>
            </w:r>
            <w:r>
              <w:tab/>
            </w:r>
            <w:r>
              <w:t xml:space="preserve">the PUSCH transmission is scheduled by DCI format 0_0 on serving cell </w:t>
            </w:r>
            <m:oMath>
              <m:r>
                <w:rPr>
                  <w:rFonts w:ascii="Cambria Math" w:hAnsi="Cambria Math"/>
                  <w:lang w:val="en-US"/>
                </w:rPr>
                <m:t>c</m:t>
              </m:r>
            </m:oMath>
            <w:r>
              <w:t>,</w:t>
            </w:r>
            <w:r>
              <w:rPr>
                <w:lang w:val="en-US"/>
              </w:rPr>
              <w:t xml:space="preserve"> </w:t>
            </w:r>
          </w:p>
          <w:p>
            <w:pPr>
              <w:pStyle w:val="81"/>
              <w:snapToGrid w:val="0"/>
              <w:spacing w:before="180" w:beforeLines="50" w:afterLines="50"/>
              <w:ind w:left="283" w:firstLine="0"/>
              <w:rPr>
                <w:lang w:val="en-US"/>
              </w:rPr>
            </w:pPr>
            <w:r>
              <w:t>-</w:t>
            </w:r>
            <w:r>
              <w:tab/>
            </w:r>
            <w:r>
              <w:rPr>
                <w:lang w:val="en-US"/>
              </w:rPr>
              <w:t>the</w:t>
            </w:r>
            <w:r>
              <w:t xml:space="preserve"> UE is not provided PUCCH resources for the active UL BWP of serving cell </w:t>
            </w:r>
            <m:oMath>
              <m:r>
                <w:rPr>
                  <w:rFonts w:ascii="Cambria Math" w:hAnsi="Cambria Math"/>
                  <w:lang w:val="en-US"/>
                </w:rPr>
                <m:t>c</m:t>
              </m:r>
            </m:oMath>
            <w:r>
              <w:rPr>
                <w:lang w:val="en-US"/>
              </w:rPr>
              <w:t>, and</w:t>
            </w:r>
          </w:p>
          <w:p>
            <w:pPr>
              <w:pStyle w:val="81"/>
              <w:snapToGrid w:val="0"/>
              <w:spacing w:before="180" w:beforeLines="50" w:afterLines="50"/>
              <w:ind w:left="283" w:firstLine="0"/>
            </w:pPr>
            <w:r>
              <w:t>-</w:t>
            </w:r>
            <w:r>
              <w:tab/>
            </w:r>
            <w:r>
              <w:rPr>
                <w:lang w:val="en-US"/>
              </w:rPr>
              <w:t xml:space="preserve">the UE is provided </w:t>
            </w:r>
            <w:r>
              <w:rPr>
                <w:i/>
                <w:lang w:val="en-US"/>
              </w:rPr>
              <w:t>enableDefaultBeamPL-ForPUSCH0-0</w:t>
            </w:r>
            <w:r>
              <w:t xml:space="preserve"> </w:t>
            </w:r>
          </w:p>
          <w:p>
            <w:pPr>
              <w:pStyle w:val="80"/>
              <w:snapToGrid w:val="0"/>
              <w:spacing w:before="180" w:beforeLines="50" w:afterLines="50"/>
              <w:ind w:left="283" w:firstLine="0"/>
            </w:pPr>
            <w:bookmarkStart w:id="27" w:name="_GoBack"/>
            <w:bookmarkEnd w:id="27"/>
            <w:r>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ctrlPr>
                    <w:rPr>
                      <w:rFonts w:ascii="Cambria Math" w:hAnsi="Cambria Math"/>
                      <w:i/>
                      <w:lang w:val="en-US" w:eastAsia="zh-CN"/>
                    </w:rPr>
                  </m:ctrlPr>
                </m:e>
                <m:sub>
                  <m:r>
                    <w:rPr>
                      <w:rFonts w:ascii="Cambria Math" w:hAnsi="Cambria Math"/>
                      <w:lang w:val="en-US" w:eastAsia="zh-CN"/>
                    </w:rPr>
                    <m:t>d</m:t>
                  </m:r>
                  <m:ctrlPr>
                    <w:rPr>
                      <w:rFonts w:ascii="Cambria Math" w:hAnsi="Cambria Math"/>
                      <w:i/>
                      <w:lang w:val="en-US" w:eastAsia="zh-CN"/>
                    </w:rPr>
                  </m:ctrlPr>
                </m:sub>
              </m:sSub>
            </m:oMath>
            <w:r>
              <w:t xml:space="preserve"> providing a </w:t>
            </w:r>
            <w:r>
              <w:rPr>
                <w:lang w:val="en-US"/>
              </w:rPr>
              <w:t xml:space="preserve">periodic </w:t>
            </w:r>
            <w:r>
              <w:t xml:space="preserve">RS resource </w:t>
            </w:r>
            <w:r>
              <w:rPr>
                <w:lang w:val="en-US"/>
              </w:rPr>
              <w:t xml:space="preserve">configured </w:t>
            </w:r>
            <w:r>
              <w:t xml:space="preserve">with </w:t>
            </w:r>
            <w:r>
              <w:rPr>
                <w:i/>
                <w:lang w:val="en-US" w:eastAsia="ja-JP"/>
              </w:rPr>
              <w:t>qcl-Type</w:t>
            </w:r>
            <w:r>
              <w:rPr>
                <w:lang w:val="en-US" w:eastAsia="ja-JP"/>
              </w:rPr>
              <w:t xml:space="preserve"> set to</w:t>
            </w:r>
            <w:r>
              <w:t xml:space="preserve"> </w:t>
            </w:r>
            <w:r>
              <w:rPr>
                <w:lang w:val="en-US"/>
              </w:rPr>
              <w:t>'t</w:t>
            </w:r>
            <w:r>
              <w:t>ypeD' in the TCI state or the QCL assumption of a CORESET with the lowest index in the active DL BWP of the serving cell</w:t>
            </w:r>
            <w:r>
              <w:rPr>
                <w:lang w:val="en-US"/>
              </w:rPr>
              <w:t xml:space="preserve"> </w:t>
            </w:r>
            <m:oMath>
              <m:r>
                <w:rPr>
                  <w:rFonts w:ascii="Cambria Math" w:hAnsi="Cambria Math"/>
                  <w:lang w:val="en-US"/>
                </w:rPr>
                <m:t>c</m:t>
              </m:r>
            </m:oMath>
          </w:p>
          <w:p>
            <w:pPr>
              <w:pStyle w:val="80"/>
              <w:snapToGrid w:val="0"/>
              <w:spacing w:before="180" w:beforeLines="50" w:afterLines="50"/>
              <w:ind w:left="0" w:firstLine="0"/>
            </w:pPr>
            <w:r>
              <w:t xml:space="preserve">-If </w:t>
            </w:r>
          </w:p>
          <w:p>
            <w:pPr>
              <w:pStyle w:val="81"/>
              <w:snapToGrid w:val="0"/>
              <w:spacing w:before="180" w:beforeLines="50" w:afterLines="50"/>
              <w:ind w:left="283" w:firstLine="0"/>
              <w:rPr>
                <w:lang w:val="en-US"/>
              </w:rPr>
            </w:pPr>
            <w:r>
              <w:t>-</w:t>
            </w:r>
            <w:r>
              <w:tab/>
            </w:r>
            <w:r>
              <w:t xml:space="preserve">the PUSCH transmission is scheduled by DCI format 0_0 on serving cell </w:t>
            </w:r>
            <m:oMath>
              <m:r>
                <w:rPr>
                  <w:rFonts w:ascii="Cambria Math" w:hAnsi="Cambria Math"/>
                  <w:lang w:val="en-US"/>
                </w:rPr>
                <m:t>c</m:t>
              </m:r>
            </m:oMath>
            <w:r>
              <w:t>,</w:t>
            </w:r>
            <w:r>
              <w:rPr>
                <w:lang w:val="en-US"/>
              </w:rPr>
              <w:t xml:space="preserve"> </w:t>
            </w:r>
          </w:p>
          <w:p>
            <w:pPr>
              <w:pStyle w:val="81"/>
              <w:snapToGrid w:val="0"/>
              <w:spacing w:before="180" w:beforeLines="50" w:afterLines="50"/>
              <w:ind w:left="283" w:firstLine="0"/>
              <w:rPr>
                <w:lang w:val="en-US"/>
              </w:rPr>
            </w:pPr>
            <w:r>
              <w:t>-</w:t>
            </w:r>
            <w:r>
              <w:tab/>
            </w:r>
            <w:r>
              <w:rPr>
                <w:lang w:val="en-US"/>
              </w:rPr>
              <w:t>the</w:t>
            </w:r>
            <w:r>
              <w:t xml:space="preserve"> UE is not provided a spatial setting for PUCCH resources on the active UL BWP of the primary cell [11, TS 38.321]</w:t>
            </w:r>
            <w:r>
              <w:rPr>
                <w:lang w:val="en-US"/>
              </w:rPr>
              <w:t>, and</w:t>
            </w:r>
          </w:p>
          <w:p>
            <w:pPr>
              <w:pStyle w:val="81"/>
              <w:snapToGrid w:val="0"/>
              <w:spacing w:before="180" w:beforeLines="50" w:afterLines="50"/>
              <w:ind w:left="283" w:firstLine="0"/>
            </w:pPr>
            <w:r>
              <w:t>-</w:t>
            </w:r>
            <w:r>
              <w:tab/>
            </w:r>
            <w:r>
              <w:rPr>
                <w:lang w:val="en-US"/>
              </w:rPr>
              <w:t xml:space="preserve">the UE is provided </w:t>
            </w:r>
            <w:r>
              <w:rPr>
                <w:i/>
                <w:lang w:val="en-US"/>
              </w:rPr>
              <w:t>enableDefaultBeamPL-ForPUSCH0-0</w:t>
            </w:r>
            <w:r>
              <w:t xml:space="preserve"> </w:t>
            </w:r>
          </w:p>
          <w:p>
            <w:pPr>
              <w:pStyle w:val="80"/>
              <w:snapToGrid w:val="0"/>
              <w:spacing w:before="180" w:beforeLines="50" w:afterLines="50"/>
              <w:ind w:left="283" w:firstLine="0"/>
              <w:rPr>
                <w:i/>
                <w:iCs/>
                <w:lang w:val="en-US" w:eastAsia="zh-CN"/>
              </w:rPr>
            </w:pPr>
            <w:r>
              <w:tab/>
            </w:r>
            <w:r>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ctrlPr>
                    <w:rPr>
                      <w:rFonts w:ascii="Cambria Math" w:hAnsi="Cambria Math"/>
                      <w:i/>
                      <w:lang w:val="en-US" w:eastAsia="zh-CN"/>
                    </w:rPr>
                  </m:ctrlPr>
                </m:e>
                <m:sub>
                  <m:r>
                    <w:rPr>
                      <w:rFonts w:ascii="Cambria Math" w:hAnsi="Cambria Math"/>
                      <w:lang w:val="en-US" w:eastAsia="zh-CN"/>
                    </w:rPr>
                    <m:t>d</m:t>
                  </m:r>
                  <m:ctrlPr>
                    <w:rPr>
                      <w:rFonts w:ascii="Cambria Math" w:hAnsi="Cambria Math"/>
                      <w:i/>
                      <w:lang w:val="en-US" w:eastAsia="zh-CN"/>
                    </w:rPr>
                  </m:ctrlPr>
                </m:sub>
              </m:sSub>
            </m:oMath>
            <w:r>
              <w:t xml:space="preserve"> providing a </w:t>
            </w:r>
            <w:r>
              <w:rPr>
                <w:lang w:val="en-US"/>
              </w:rPr>
              <w:t xml:space="preserve">periodic </w:t>
            </w:r>
            <w:r>
              <w:t xml:space="preserve">RS resource </w:t>
            </w:r>
            <w:r>
              <w:rPr>
                <w:lang w:val="en-US"/>
              </w:rPr>
              <w:t xml:space="preserve">configured </w:t>
            </w:r>
            <w:r>
              <w:t xml:space="preserve">with </w:t>
            </w:r>
            <w:r>
              <w:rPr>
                <w:i/>
                <w:lang w:val="en-US" w:eastAsia="ja-JP"/>
              </w:rPr>
              <w:t>qcl-Type</w:t>
            </w:r>
            <w:r>
              <w:rPr>
                <w:lang w:val="en-US" w:eastAsia="ja-JP"/>
              </w:rPr>
              <w:t xml:space="preserve"> set to</w:t>
            </w:r>
            <w:r>
              <w:t xml:space="preserve"> </w:t>
            </w:r>
            <w:r>
              <w:rPr>
                <w:lang w:val="en-US"/>
              </w:rPr>
              <w:t>'t</w:t>
            </w:r>
            <w:r>
              <w:t xml:space="preserve">ypeD' in the TCI state or the QCL assumption of a CORESET with the lowest index in the active DL BWP of </w:t>
            </w:r>
            <w:r>
              <w:rPr>
                <w:lang w:val="en-US"/>
              </w:rPr>
              <w:t>the serving</w:t>
            </w:r>
            <w:r>
              <w:t xml:space="preserve"> cell</w:t>
            </w:r>
            <w:r>
              <w:rPr>
                <w:lang w:val="en-US"/>
              </w:rPr>
              <w:t xml:space="preserve"> </w:t>
            </w:r>
            <m:oMath>
              <m:r>
                <w:rPr>
                  <w:rFonts w:ascii="Cambria Math" w:hAnsi="Cambria Math"/>
                  <w:lang w:val="en-US"/>
                </w:rPr>
                <m:t>c</m:t>
              </m:r>
            </m:oMath>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n Rel-17, if the CORESET is activated with 2 TCI states, the mechanism of default PL-RS for PUSCH can be the same as the default spatial relation of PUSCH.</w:t>
      </w:r>
    </w:p>
    <w:p>
      <w:pPr>
        <w:snapToGrid w:val="0"/>
        <w:spacing w:after="0" w:line="240" w:lineRule="auto"/>
        <w:jc w:val="both"/>
        <w:rPr>
          <w:rFonts w:ascii="Times New Roman" w:hAnsi="Times New Roman"/>
          <w:i/>
          <w:iCs/>
          <w:sz w:val="20"/>
          <w:szCs w:val="20"/>
        </w:rPr>
      </w:pPr>
      <w:bookmarkStart w:id="21" w:name="OLE_LINK19"/>
      <w:r>
        <w:rPr>
          <w:rFonts w:hint="eastAsia" w:ascii="Times New Roman" w:hAnsi="Times New Roman"/>
          <w:b/>
          <w:bCs/>
          <w:i/>
          <w:iCs/>
          <w:sz w:val="20"/>
          <w:szCs w:val="20"/>
        </w:rPr>
        <w:t>Proposal 12:</w:t>
      </w:r>
      <w:r>
        <w:rPr>
          <w:rFonts w:ascii="Times New Roman" w:hAnsi="Times New Roman"/>
          <w:b/>
          <w:bCs/>
          <w:i/>
          <w:iCs/>
          <w:sz w:val="20"/>
          <w:szCs w:val="20"/>
        </w:rPr>
        <w:t xml:space="preserve"> </w:t>
      </w:r>
      <w:r>
        <w:rPr>
          <w:rFonts w:ascii="Times New Roman" w:hAnsi="Times New Roman"/>
          <w:bCs/>
          <w:i/>
          <w:iCs/>
          <w:sz w:val="20"/>
          <w:szCs w:val="20"/>
        </w:rPr>
        <w:t xml:space="preserve">When the default PL-RS of PUSCH is determined by QCL RS of CORESET with lowest ID, and </w:t>
      </w:r>
      <w:r>
        <w:rPr>
          <w:rFonts w:hint="eastAsia" w:ascii="Times New Roman" w:hAnsi="Times New Roman"/>
          <w:i/>
          <w:iCs/>
          <w:sz w:val="20"/>
          <w:szCs w:val="20"/>
        </w:rPr>
        <w:t xml:space="preserve">two TCI states are activated for the CORESET </w:t>
      </w:r>
      <w:r>
        <w:rPr>
          <w:rFonts w:ascii="Times New Roman" w:hAnsi="Times New Roman"/>
          <w:i/>
          <w:iCs/>
          <w:sz w:val="20"/>
          <w:szCs w:val="20"/>
        </w:rPr>
        <w:t>,</w:t>
      </w:r>
    </w:p>
    <w:p>
      <w:pPr>
        <w:numPr>
          <w:ilvl w:val="0"/>
          <w:numId w:val="17"/>
        </w:numPr>
        <w:snapToGrid w:val="0"/>
        <w:spacing w:after="0" w:line="240" w:lineRule="auto"/>
        <w:jc w:val="both"/>
        <w:rPr>
          <w:rFonts w:ascii="Times New Roman" w:hAnsi="Times New Roman"/>
          <w:i/>
          <w:iCs/>
          <w:sz w:val="20"/>
          <w:szCs w:val="20"/>
        </w:rPr>
      </w:pPr>
      <w:r>
        <w:rPr>
          <w:rFonts w:hint="eastAsia" w:ascii="Times New Roman" w:hAnsi="Times New Roman"/>
          <w:i/>
          <w:iCs/>
          <w:sz w:val="20"/>
          <w:szCs w:val="20"/>
        </w:rPr>
        <w:t xml:space="preserve">If PUSCH repetition is not configured, the first one of the two TCI states activated for the CORESET with the lowest ID is used as the default </w:t>
      </w:r>
      <w:r>
        <w:rPr>
          <w:rFonts w:ascii="Times New Roman" w:hAnsi="Times New Roman"/>
          <w:i/>
          <w:iCs/>
          <w:sz w:val="20"/>
          <w:szCs w:val="20"/>
        </w:rPr>
        <w:t>PL-RS</w:t>
      </w:r>
      <w:r>
        <w:rPr>
          <w:rFonts w:hint="eastAsia" w:ascii="Times New Roman" w:hAnsi="Times New Roman"/>
          <w:i/>
          <w:iCs/>
          <w:sz w:val="20"/>
          <w:szCs w:val="20"/>
        </w:rPr>
        <w:t>.</w:t>
      </w:r>
    </w:p>
    <w:p>
      <w:pPr>
        <w:numPr>
          <w:ilvl w:val="0"/>
          <w:numId w:val="17"/>
        </w:numPr>
        <w:snapToGrid w:val="0"/>
        <w:spacing w:after="0" w:line="240" w:lineRule="auto"/>
        <w:jc w:val="both"/>
        <w:rPr>
          <w:rFonts w:ascii="Times New Roman" w:hAnsi="Times New Roman"/>
          <w:i w:val="0"/>
          <w:iCs w:val="0"/>
          <w:sz w:val="20"/>
          <w:szCs w:val="20"/>
        </w:rPr>
      </w:pPr>
      <w:r>
        <w:rPr>
          <w:rFonts w:hint="eastAsia" w:ascii="Times New Roman" w:hAnsi="Times New Roman"/>
          <w:i/>
          <w:iCs/>
          <w:sz w:val="20"/>
          <w:szCs w:val="20"/>
        </w:rPr>
        <w:t xml:space="preserve">If PUSCH repetition is configured, the two TCI states activated for the CORESET with the lowest ID are used as the default </w:t>
      </w:r>
      <w:r>
        <w:rPr>
          <w:rFonts w:ascii="Times New Roman" w:hAnsi="Times New Roman"/>
          <w:i/>
          <w:iCs/>
          <w:sz w:val="20"/>
          <w:szCs w:val="20"/>
        </w:rPr>
        <w:t>PL-RS</w:t>
      </w:r>
      <w:r>
        <w:rPr>
          <w:rFonts w:hint="eastAsia" w:ascii="Times New Roman" w:hAnsi="Times New Roman"/>
          <w:i/>
          <w:iCs/>
          <w:sz w:val="20"/>
          <w:szCs w:val="20"/>
        </w:rPr>
        <w:t>, and each TCI states is associated to one PUSCH transmission occasion group.</w:t>
      </w:r>
    </w:p>
    <w:bookmarkEnd w:id="21"/>
    <w:p>
      <w:pPr>
        <w:pStyle w:val="4"/>
        <w:numPr>
          <w:ilvl w:val="0"/>
          <w:numId w:val="0"/>
        </w:numPr>
        <w:snapToGrid w:val="0"/>
        <w:spacing w:before="180" w:beforeLines="50" w:after="180" w:afterLines="50" w:line="240" w:lineRule="auto"/>
        <w:rPr>
          <w:rFonts w:ascii="Times New Roman" w:hAnsi="Times New Roman"/>
          <w:sz w:val="24"/>
          <w:szCs w:val="24"/>
          <w:lang w:val="en-US"/>
        </w:rPr>
      </w:pPr>
      <w:r>
        <w:rPr>
          <w:rFonts w:hint="eastAsia" w:ascii="Times New Roman" w:hAnsi="Times New Roman"/>
          <w:sz w:val="24"/>
          <w:szCs w:val="24"/>
          <w:lang w:val="en-US"/>
        </w:rPr>
        <w:t xml:space="preserve">2.4.3 </w:t>
      </w:r>
      <w:r>
        <w:rPr>
          <w:rFonts w:ascii="Times New Roman" w:hAnsi="Times New Roman"/>
          <w:sz w:val="24"/>
          <w:szCs w:val="24"/>
          <w:lang w:val="en-US"/>
        </w:rPr>
        <w:t xml:space="preserve">For </w:t>
      </w:r>
      <w:r>
        <w:rPr>
          <w:rFonts w:hint="eastAsia" w:ascii="Times New Roman" w:hAnsi="Times New Roman"/>
          <w:sz w:val="24"/>
          <w:szCs w:val="24"/>
          <w:lang w:val="en-US"/>
        </w:rPr>
        <w:t>SRS</w:t>
      </w:r>
    </w:p>
    <w:p>
      <w:pPr>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 xml:space="preserve">n </w:t>
      </w:r>
      <w:r>
        <w:rPr>
          <w:rFonts w:hint="eastAsia" w:ascii="Times New Roman" w:hAnsi="Times New Roman"/>
          <w:sz w:val="20"/>
          <w:szCs w:val="20"/>
        </w:rPr>
        <w:t>Rel</w:t>
      </w:r>
      <w:r>
        <w:rPr>
          <w:rFonts w:ascii="Times New Roman" w:hAnsi="Times New Roman"/>
          <w:sz w:val="20"/>
          <w:szCs w:val="20"/>
        </w:rPr>
        <w:t>-16, the default PL-RS for SRS may also rely on the QCL RS of a CORESET as described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80"/>
              <w:snapToGrid w:val="0"/>
              <w:spacing w:before="180" w:beforeLines="50" w:afterLines="50"/>
              <w:ind w:left="0" w:firstLine="0"/>
            </w:pPr>
            <w:r>
              <w:rPr>
                <w:rFonts w:hint="eastAsia" w:eastAsia="宋体"/>
                <w:b/>
                <w:bCs/>
                <w:lang w:val="en-US" w:eastAsia="zh-CN"/>
              </w:rPr>
              <w:t>38.213 section 7.3.1</w:t>
            </w:r>
          </w:p>
          <w:p>
            <w:pPr>
              <w:pStyle w:val="80"/>
              <w:snapToGrid w:val="0"/>
              <w:spacing w:before="180" w:beforeLines="50" w:afterLines="50"/>
              <w:ind w:left="0" w:firstLine="0"/>
            </w:pPr>
            <w:r>
              <w:t>-If the UE</w:t>
            </w:r>
          </w:p>
          <w:p>
            <w:pPr>
              <w:pStyle w:val="81"/>
              <w:snapToGrid w:val="0"/>
              <w:spacing w:before="180" w:beforeLines="50" w:afterLines="50"/>
              <w:ind w:left="283" w:firstLine="0"/>
              <w:rPr>
                <w:lang w:val="en-US"/>
              </w:rPr>
            </w:pPr>
            <w:r>
              <w:t>-</w:t>
            </w:r>
            <w:r>
              <w:tab/>
            </w:r>
            <w:r>
              <w:t xml:space="preserve">is not provided </w:t>
            </w:r>
            <w:r>
              <w:rPr>
                <w:i/>
                <w:iCs/>
              </w:rPr>
              <w:t>pathlossReferenceRS</w:t>
            </w:r>
            <w:r>
              <w:t xml:space="preserve"> or </w:t>
            </w:r>
            <w:r>
              <w:rPr>
                <w:i/>
                <w:lang w:eastAsia="ko-KR"/>
              </w:rPr>
              <w:t>SRS-PathlossReferenceRS</w:t>
            </w:r>
            <w:r>
              <w:rPr>
                <w:i/>
                <w:iCs/>
                <w:lang w:val="en-US" w:eastAsia="ko-KR"/>
              </w:rPr>
              <w:t>-Id</w:t>
            </w:r>
            <w:r>
              <w:rPr>
                <w:lang w:val="en-US"/>
              </w:rPr>
              <w:t xml:space="preserve">, </w:t>
            </w:r>
          </w:p>
          <w:p>
            <w:pPr>
              <w:pStyle w:val="81"/>
              <w:snapToGrid w:val="0"/>
              <w:spacing w:before="180" w:beforeLines="50" w:afterLines="50"/>
              <w:ind w:left="283" w:firstLine="0"/>
            </w:pPr>
            <w:r>
              <w:t>-</w:t>
            </w:r>
            <w:r>
              <w:tab/>
            </w:r>
            <w:r>
              <w:rPr>
                <w:lang w:eastAsia="zh-CN"/>
              </w:rPr>
              <w:t xml:space="preserve">is not provided </w:t>
            </w:r>
            <w:r>
              <w:rPr>
                <w:i/>
              </w:rPr>
              <w:t>spatialRelationInfo</w:t>
            </w:r>
            <w:r>
              <w:rPr>
                <w:iCs/>
              </w:rPr>
              <w:t xml:space="preserve">, </w:t>
            </w:r>
            <w:r>
              <w:rPr>
                <w:lang w:val="en-US"/>
              </w:rPr>
              <w:t>and</w:t>
            </w:r>
          </w:p>
          <w:p>
            <w:pPr>
              <w:pStyle w:val="81"/>
              <w:snapToGrid w:val="0"/>
              <w:spacing w:before="180" w:beforeLines="50" w:afterLines="50"/>
              <w:ind w:left="283" w:firstLine="0"/>
            </w:pPr>
            <w:r>
              <w:t>-</w:t>
            </w:r>
            <w:r>
              <w:tab/>
            </w:r>
            <w:r>
              <w:rPr>
                <w:lang w:val="en-US"/>
              </w:rPr>
              <w:t xml:space="preserve">is provided </w:t>
            </w:r>
            <w:r>
              <w:rPr>
                <w:i/>
                <w:iCs/>
                <w:lang w:val="en-US"/>
              </w:rPr>
              <w:t>enableDefaultBeamPL-ForSRS</w:t>
            </w:r>
            <w:r>
              <w:rPr>
                <w:iCs/>
                <w:lang w:val="en-US"/>
              </w:rPr>
              <w:t>, and</w:t>
            </w:r>
            <w:r>
              <w:t xml:space="preserve"> </w:t>
            </w:r>
          </w:p>
          <w:p>
            <w:pPr>
              <w:pStyle w:val="81"/>
              <w:snapToGrid w:val="0"/>
              <w:spacing w:before="180" w:beforeLines="50" w:afterLines="50"/>
              <w:ind w:left="283" w:firstLine="0"/>
            </w:pPr>
            <w:r>
              <w:t>-</w:t>
            </w:r>
            <w:r>
              <w:tab/>
            </w:r>
            <w:r>
              <w:t xml:space="preserve">is not provided </w:t>
            </w:r>
            <w:r>
              <w:rPr>
                <w:rStyle w:val="32"/>
                <w:rFonts w:eastAsia="Batang"/>
              </w:rPr>
              <w:t>coresetPoolIndex</w:t>
            </w:r>
            <w:r>
              <w:t xml:space="preserve"> value of 1 for any CORESET, or is provided </w:t>
            </w:r>
            <w:r>
              <w:rPr>
                <w:rStyle w:val="32"/>
                <w:rFonts w:eastAsia="Batang"/>
              </w:rPr>
              <w:t>coresetPoolIndex</w:t>
            </w:r>
            <w:r>
              <w:t xml:space="preserve"> value of 1 for all CORESETs, in </w:t>
            </w:r>
            <w:r>
              <w:rPr>
                <w:rStyle w:val="32"/>
                <w:rFonts w:eastAsia="Batang"/>
              </w:rPr>
              <w:t xml:space="preserve">ControlResourceSet </w:t>
            </w:r>
            <w:r>
              <w:t xml:space="preserve">and no codepoint of a TCI field, if any, in a DCI format of any search space set maps to two TCI states [5, TS 38.212] </w:t>
            </w:r>
          </w:p>
          <w:p>
            <w:pPr>
              <w:pStyle w:val="80"/>
              <w:snapToGrid w:val="0"/>
              <w:spacing w:before="180" w:beforeLines="50" w:afterLines="50"/>
              <w:ind w:left="283" w:firstLine="0"/>
            </w:pPr>
            <w:r>
              <w:tab/>
            </w:r>
            <w:r>
              <w:t>the UE determines a RS resource</w:t>
            </w:r>
            <w:r>
              <w:rPr>
                <w:lang w:val="en-US"/>
              </w:rPr>
              <w:t xml:space="preserve"> index</w:t>
            </w:r>
            <w:r>
              <w:t xml:space="preserve"> </w:t>
            </w:r>
            <w:r>
              <w:rPr>
                <w:position w:val="-10"/>
              </w:rPr>
              <w:object>
                <v:shape id="_x0000_i1032" o:spt="75" type="#_x0000_t75" style="height:16.05pt;width:14.6pt;" o:ole="t" filled="f" o:preferrelative="t" stroked="f" coordsize="21600,21600">
                  <v:path/>
                  <v:fill on="f" focussize="0,0"/>
                  <v:stroke on="f" joinstyle="miter"/>
                  <v:imagedata r:id="rId21" o:title=""/>
                  <o:lock v:ext="edit" aspectratio="t"/>
                  <w10:wrap type="none"/>
                  <w10:anchorlock/>
                </v:shape>
                <o:OLEObject Type="Embed" ProgID="Equation.3" ShapeID="_x0000_i1032" DrawAspect="Content" ObjectID="_1468075732" r:id="rId20">
                  <o:LockedField>false</o:LockedField>
                </o:OLEObject>
              </w:object>
            </w:r>
            <w:r>
              <w:t xml:space="preserve"> providing a </w:t>
            </w:r>
            <w:r>
              <w:rPr>
                <w:lang w:val="en-US"/>
              </w:rPr>
              <w:t xml:space="preserve">periodic </w:t>
            </w:r>
            <w:r>
              <w:t xml:space="preserve">RS resource </w:t>
            </w:r>
            <w:r>
              <w:rPr>
                <w:lang w:val="en-US"/>
              </w:rPr>
              <w:t xml:space="preserve">configured </w:t>
            </w:r>
            <w:r>
              <w:t xml:space="preserve">with </w:t>
            </w:r>
            <w:r>
              <w:rPr>
                <w:i/>
                <w:lang w:val="en-US"/>
              </w:rPr>
              <w:t>qcl-Type</w:t>
            </w:r>
            <w:r>
              <w:rPr>
                <w:lang w:val="en-US"/>
              </w:rPr>
              <w:t xml:space="preserve"> set to</w:t>
            </w:r>
            <w:r>
              <w:t xml:space="preserve"> </w:t>
            </w:r>
            <w:r>
              <w:rPr>
                <w:lang w:val="en-US"/>
              </w:rPr>
              <w:t>'t</w:t>
            </w:r>
            <w:r>
              <w:t>ypeD' in</w:t>
            </w:r>
          </w:p>
          <w:p>
            <w:pPr>
              <w:pStyle w:val="81"/>
              <w:snapToGrid w:val="0"/>
              <w:spacing w:before="180" w:beforeLines="50" w:afterLines="50"/>
              <w:ind w:left="283" w:firstLine="0"/>
            </w:pPr>
            <w:r>
              <w:t>-</w:t>
            </w:r>
            <w:r>
              <w:tab/>
            </w:r>
            <w:r>
              <w:t xml:space="preserve">the TCI state or the QCL assumption of a CORESET with the lowest index in the active DL BWP, if CORESETs are provided in the active DL BWP of serving cell </w:t>
            </w:r>
            <m:oMath>
              <m:r>
                <w:rPr>
                  <w:rFonts w:ascii="Cambria Math" w:hAnsi="Cambria Math"/>
                  <w:lang w:val="en-US"/>
                </w:rPr>
                <m:t>c</m:t>
              </m:r>
            </m:oMath>
          </w:p>
          <w:p>
            <w:pPr>
              <w:pStyle w:val="81"/>
              <w:snapToGrid w:val="0"/>
              <w:spacing w:before="180" w:beforeLines="50" w:afterLines="50"/>
              <w:ind w:left="283" w:firstLine="0"/>
              <w:rPr>
                <w:lang w:val="en-US" w:eastAsia="zh-CN"/>
              </w:rPr>
            </w:pPr>
            <w:r>
              <w:t>-</w:t>
            </w:r>
            <w:r>
              <w:tab/>
            </w:r>
            <w:r>
              <w:t xml:space="preserve">the active PDSCH TCI state with lowest ID [6, TS 38.214] in the active DL BWP, if CORESETs are not provided in the active DL BWP of serving cell </w:t>
            </w:r>
            <m:oMath>
              <m:r>
                <w:rPr>
                  <w:rFonts w:ascii="Cambria Math" w:hAnsi="Cambria Math"/>
                  <w:lang w:val="en-US"/>
                </w:rPr>
                <m:t>c</m:t>
              </m:r>
            </m:oMath>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Rel-17, if two TCI states are activated for the CORESET with lowest index, it is naturally to use the first one of two TCI states to determine the default PL-RS of SRS.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However, if two SRS resource sets for codebook/non-codebook are configured for Rel-17 MTRP PUSCH transmission as discussed in section 8.1.2.1, where separate power controls for two SRS resource sets have been agreed. Thus, we propose to use both activated TCI states of the CORESET to determine the PL-RS of the two SRS resource sets in such case, where the activated TCI states and the SRS resource sets for codebook are mapped in order.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From above analysis, we make the following proposal:</w:t>
      </w: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Proposal 13:</w:t>
      </w:r>
      <w:r>
        <w:rPr>
          <w:rFonts w:ascii="Times New Roman" w:hAnsi="Times New Roman"/>
          <w:b/>
          <w:bCs/>
          <w:i/>
          <w:iCs/>
          <w:sz w:val="20"/>
          <w:szCs w:val="20"/>
        </w:rPr>
        <w:t xml:space="preserve"> </w:t>
      </w:r>
      <w:r>
        <w:rPr>
          <w:rFonts w:ascii="Times New Roman" w:hAnsi="Times New Roman"/>
          <w:bCs/>
          <w:i/>
          <w:iCs/>
          <w:sz w:val="20"/>
          <w:szCs w:val="20"/>
        </w:rPr>
        <w:t xml:space="preserve">When the default PL-RS of SRS is determined by QCL RS of CORESET with lowest ID, and </w:t>
      </w:r>
      <w:r>
        <w:rPr>
          <w:rFonts w:hint="eastAsia" w:ascii="Times New Roman" w:hAnsi="Times New Roman"/>
          <w:i/>
          <w:iCs/>
          <w:sz w:val="20"/>
          <w:szCs w:val="20"/>
        </w:rPr>
        <w:t>two TCI states are activated for the CORESET,</w:t>
      </w:r>
    </w:p>
    <w:p>
      <w:pPr>
        <w:numPr>
          <w:ilvl w:val="0"/>
          <w:numId w:val="17"/>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I</w:t>
      </w:r>
      <w:r>
        <w:rPr>
          <w:rFonts w:ascii="Times New Roman" w:hAnsi="Times New Roman"/>
          <w:i/>
          <w:iCs/>
          <w:sz w:val="20"/>
          <w:szCs w:val="20"/>
        </w:rPr>
        <w:t xml:space="preserve">f only one SRS resource set for codebook/non-codebbok is configured, </w:t>
      </w:r>
      <w:r>
        <w:rPr>
          <w:rFonts w:hint="eastAsia" w:ascii="Times New Roman" w:hAnsi="Times New Roman"/>
          <w:i/>
          <w:iCs/>
          <w:sz w:val="20"/>
          <w:szCs w:val="20"/>
        </w:rPr>
        <w:t xml:space="preserve">the first one of the two TCI states activated for the CORESET with the lowest ID is used as the default </w:t>
      </w:r>
      <w:r>
        <w:rPr>
          <w:rFonts w:ascii="Times New Roman" w:hAnsi="Times New Roman"/>
          <w:i/>
          <w:iCs/>
          <w:sz w:val="20"/>
          <w:szCs w:val="20"/>
        </w:rPr>
        <w:t>PL-RS of SRS</w:t>
      </w:r>
    </w:p>
    <w:p>
      <w:pPr>
        <w:numPr>
          <w:ilvl w:val="0"/>
          <w:numId w:val="17"/>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I</w:t>
      </w:r>
      <w:r>
        <w:rPr>
          <w:rFonts w:ascii="Times New Roman" w:hAnsi="Times New Roman"/>
          <w:i/>
          <w:iCs/>
          <w:sz w:val="20"/>
          <w:szCs w:val="20"/>
        </w:rPr>
        <w:t xml:space="preserve">f two SRS resource sets for codebook/non-codebook is configured, </w:t>
      </w:r>
      <w:r>
        <w:rPr>
          <w:rFonts w:hint="eastAsia" w:ascii="Times New Roman" w:hAnsi="Times New Roman"/>
          <w:i/>
          <w:iCs/>
          <w:sz w:val="20"/>
          <w:szCs w:val="20"/>
        </w:rPr>
        <w:t xml:space="preserve">the two TCI states activated for the CORESET with the lowest ID are used as the default </w:t>
      </w:r>
      <w:r>
        <w:rPr>
          <w:rFonts w:ascii="Times New Roman" w:hAnsi="Times New Roman"/>
          <w:i/>
          <w:iCs/>
          <w:sz w:val="20"/>
          <w:szCs w:val="20"/>
        </w:rPr>
        <w:t>PL-RS of SRS</w:t>
      </w:r>
      <w:r>
        <w:rPr>
          <w:rFonts w:hint="eastAsia" w:ascii="Times New Roman" w:hAnsi="Times New Roman"/>
          <w:i/>
          <w:iCs/>
          <w:sz w:val="20"/>
          <w:szCs w:val="20"/>
        </w:rPr>
        <w:t>, and each TCI states is associated to one</w:t>
      </w:r>
      <w:r>
        <w:rPr>
          <w:rFonts w:ascii="Times New Roman" w:hAnsi="Times New Roman"/>
          <w:i/>
          <w:iCs/>
          <w:sz w:val="20"/>
          <w:szCs w:val="20"/>
        </w:rPr>
        <w:t xml:space="preserve"> SRS resource set</w:t>
      </w:r>
    </w:p>
    <w:p>
      <w:pPr>
        <w:pStyle w:val="3"/>
        <w:numPr>
          <w:ilvl w:val="1"/>
          <w:numId w:val="4"/>
        </w:numPr>
        <w:snapToGrid w:val="0"/>
        <w:spacing w:before="180" w:beforeLines="50" w:after="180" w:afterLines="50" w:line="240" w:lineRule="auto"/>
        <w:rPr>
          <w:rFonts w:ascii="Arial" w:hAnsi="Arial" w:cs="Arial"/>
          <w:sz w:val="24"/>
          <w:szCs w:val="24"/>
          <w:lang w:val="en-US"/>
        </w:rPr>
      </w:pPr>
      <w:r>
        <w:rPr>
          <w:rFonts w:hint="eastAsia" w:ascii="Arial" w:hAnsi="Arial" w:cs="Arial"/>
          <w:sz w:val="24"/>
          <w:szCs w:val="24"/>
          <w:lang w:val="en-US"/>
        </w:rPr>
        <w:t>Enhancement on BFR</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RAN1#105 e-meeting, one proposal</w:t>
      </w:r>
      <w:r>
        <w:rPr>
          <w:rFonts w:ascii="Times New Roman" w:hAnsi="Times New Roman"/>
          <w:sz w:val="20"/>
          <w:szCs w:val="20"/>
        </w:rPr>
        <w:t xml:space="preserve"> </w:t>
      </w:r>
      <w:r>
        <w:rPr>
          <w:rFonts w:hint="eastAsia" w:ascii="Times New Roman" w:hAnsi="Times New Roman"/>
          <w:sz w:val="20"/>
          <w:szCs w:val="20"/>
        </w:rPr>
        <w:t xml:space="preserve">was agreed as </w:t>
      </w:r>
      <w:r>
        <w:rPr>
          <w:rFonts w:ascii="Times New Roman" w:hAnsi="Times New Roman"/>
          <w:sz w:val="20"/>
          <w:szCs w:val="20"/>
        </w:rPr>
        <w:t>follows [</w:t>
      </w:r>
      <w:r>
        <w:rPr>
          <w:rFonts w:hint="eastAsia" w:ascii="Times New Roman" w:hAnsi="Times New Roman"/>
          <w:sz w:val="20"/>
          <w:szCs w:val="20"/>
        </w:rPr>
        <w:t>5]:</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b/>
                <w:bCs/>
                <w:i/>
                <w:iCs/>
                <w:sz w:val="20"/>
                <w:szCs w:val="20"/>
                <w:u w:val="single"/>
              </w:rPr>
            </w:pPr>
            <w:r>
              <w:rPr>
                <w:rFonts w:ascii="Times New Roman" w:hAnsi="Times New Roman"/>
                <w:b/>
                <w:bCs/>
                <w:i/>
                <w:iCs/>
                <w:sz w:val="20"/>
                <w:szCs w:val="20"/>
                <w:u w:val="single"/>
              </w:rPr>
              <w:t>Proposal #</w:t>
            </w:r>
            <w:r>
              <w:rPr>
                <w:rFonts w:hint="eastAsia" w:ascii="Times New Roman" w:hAnsi="Times New Roman"/>
                <w:b/>
                <w:bCs/>
                <w:i/>
                <w:iCs/>
                <w:sz w:val="20"/>
                <w:szCs w:val="20"/>
                <w:u w:val="single"/>
              </w:rPr>
              <w:t>6</w:t>
            </w:r>
            <w:r>
              <w:rPr>
                <w:rFonts w:ascii="Times New Roman" w:hAnsi="Times New Roman"/>
                <w:b/>
                <w:bCs/>
                <w:i/>
                <w:iCs/>
                <w:sz w:val="20"/>
                <w:szCs w:val="20"/>
                <w:u w:val="single"/>
              </w:rPr>
              <w:t>:</w:t>
            </w:r>
          </w:p>
          <w:p>
            <w:pPr>
              <w:spacing w:after="0" w:line="240" w:lineRule="auto"/>
              <w:rPr>
                <w:rFonts w:ascii="Times New Roman" w:hAnsi="Times New Roman"/>
                <w:i/>
                <w:iCs/>
                <w:sz w:val="20"/>
                <w:szCs w:val="20"/>
              </w:rPr>
            </w:pPr>
            <w:r>
              <w:rPr>
                <w:rFonts w:ascii="Times New Roman" w:hAnsi="Times New Roman"/>
                <w:i/>
                <w:iCs/>
                <w:sz w:val="20"/>
                <w:szCs w:val="20"/>
              </w:rPr>
              <w:t>If enhanced SFN PDCCH transmission scheme (scheme 1 or TRP-based pre-compensation)</w:t>
            </w:r>
            <w:r>
              <w:rPr>
                <w:rStyle w:val="68"/>
                <w:rFonts w:ascii="Times New Roman" w:hAnsi="Times New Roman"/>
                <w:i/>
                <w:iCs/>
                <w:sz w:val="20"/>
                <w:szCs w:val="20"/>
              </w:rPr>
              <w:t> </w:t>
            </w:r>
            <w:r>
              <w:rPr>
                <w:rFonts w:ascii="Times New Roman" w:hAnsi="Times New Roman"/>
                <w:i/>
                <w:iCs/>
                <w:sz w:val="20"/>
                <w:szCs w:val="20"/>
              </w:rPr>
              <w:t>is configured</w:t>
            </w:r>
            <w:r>
              <w:rPr>
                <w:rStyle w:val="68"/>
                <w:rFonts w:ascii="Times New Roman" w:hAnsi="Times New Roman"/>
                <w:i/>
                <w:iCs/>
                <w:sz w:val="20"/>
                <w:szCs w:val="20"/>
              </w:rPr>
              <w:t> </w:t>
            </w:r>
            <w:r>
              <w:rPr>
                <w:rFonts w:ascii="Times New Roman" w:hAnsi="Times New Roman"/>
                <w:i/>
                <w:iCs/>
                <w:sz w:val="20"/>
                <w:szCs w:val="20"/>
              </w:rPr>
              <w:t>and two TCI states are activated for at least one CORESET, support the following configuration of RS for BFD</w:t>
            </w:r>
          </w:p>
          <w:p>
            <w:pPr>
              <w:pStyle w:val="104"/>
              <w:numPr>
                <w:ilvl w:val="0"/>
                <w:numId w:val="18"/>
              </w:numPr>
              <w:spacing w:before="0" w:beforeAutospacing="0" w:after="0" w:afterAutospacing="0" w:line="240" w:lineRule="auto"/>
              <w:jc w:val="both"/>
              <w:rPr>
                <w:rFonts w:ascii="Times New Roman" w:hAnsi="Times New Roman" w:eastAsia="Times New Roman" w:cs="Times New Roman"/>
                <w:i/>
                <w:iCs/>
                <w:sz w:val="20"/>
                <w:szCs w:val="20"/>
              </w:rPr>
            </w:pPr>
            <w:r>
              <w:rPr>
                <w:rFonts w:ascii="Times New Roman" w:hAnsi="Times New Roman" w:eastAsia="Times New Roman" w:cs="Times New Roman"/>
                <w:i/>
                <w:iCs/>
                <w:sz w:val="20"/>
                <w:szCs w:val="20"/>
              </w:rPr>
              <w:t>Down-select one alternative for implicit configuration</w:t>
            </w:r>
          </w:p>
          <w:p>
            <w:pPr>
              <w:pStyle w:val="104"/>
              <w:numPr>
                <w:ilvl w:val="1"/>
                <w:numId w:val="18"/>
              </w:numPr>
              <w:spacing w:before="0" w:beforeAutospacing="0" w:after="0" w:afterAutospacing="0" w:line="240" w:lineRule="auto"/>
              <w:jc w:val="both"/>
              <w:rPr>
                <w:rFonts w:ascii="Times New Roman" w:hAnsi="Times New Roman" w:eastAsia="Times New Roman" w:cs="Times New Roman"/>
                <w:i/>
                <w:iCs/>
                <w:sz w:val="20"/>
                <w:szCs w:val="20"/>
              </w:rPr>
            </w:pPr>
            <w:r>
              <w:rPr>
                <w:rStyle w:val="30"/>
                <w:rFonts w:ascii="Times New Roman" w:hAnsi="Times New Roman" w:eastAsia="Times New Roman" w:cs="Times New Roman"/>
                <w:i/>
                <w:iCs/>
                <w:sz w:val="20"/>
                <w:szCs w:val="20"/>
                <w:lang w:val="en-GB"/>
              </w:rPr>
              <w:t>Alt 1-2</w:t>
            </w:r>
            <w:r>
              <w:rPr>
                <w:rFonts w:ascii="Times New Roman" w:hAnsi="Times New Roman" w:eastAsia="Times New Roman" w:cs="Times New Roman"/>
                <w:i/>
                <w:iCs/>
                <w:sz w:val="20"/>
                <w:szCs w:val="20"/>
                <w:lang w:val="en-GB"/>
              </w:rPr>
              <w:t>: RS of CORESETs with both single and two TCI states are used</w:t>
            </w:r>
          </w:p>
          <w:p>
            <w:pPr>
              <w:pStyle w:val="104"/>
              <w:numPr>
                <w:ilvl w:val="1"/>
                <w:numId w:val="18"/>
              </w:numPr>
              <w:spacing w:before="0" w:beforeAutospacing="0" w:after="0" w:afterAutospacing="0" w:line="240" w:lineRule="auto"/>
              <w:jc w:val="both"/>
              <w:rPr>
                <w:rFonts w:ascii="Times New Roman" w:hAnsi="Times New Roman" w:eastAsia="Times New Roman" w:cs="Times New Roman"/>
                <w:i/>
                <w:iCs/>
                <w:sz w:val="20"/>
                <w:szCs w:val="20"/>
              </w:rPr>
            </w:pPr>
            <w:r>
              <w:rPr>
                <w:rStyle w:val="30"/>
                <w:rFonts w:ascii="Times New Roman" w:hAnsi="Times New Roman" w:eastAsia="Times New Roman" w:cs="Times New Roman"/>
                <w:i/>
                <w:iCs/>
                <w:sz w:val="20"/>
                <w:szCs w:val="20"/>
                <w:lang w:val="en-GB"/>
              </w:rPr>
              <w:t>Alt 1-3</w:t>
            </w:r>
            <w:r>
              <w:rPr>
                <w:rFonts w:ascii="Times New Roman" w:hAnsi="Times New Roman" w:eastAsia="Times New Roman" w:cs="Times New Roman"/>
                <w:i/>
                <w:iCs/>
                <w:sz w:val="20"/>
                <w:szCs w:val="20"/>
                <w:lang w:val="en-GB"/>
              </w:rPr>
              <w:t>: RS of CORESETs with only two TCI states are used</w:t>
            </w:r>
          </w:p>
          <w:p>
            <w:pPr>
              <w:pStyle w:val="104"/>
              <w:numPr>
                <w:ilvl w:val="0"/>
                <w:numId w:val="18"/>
              </w:numPr>
              <w:spacing w:before="0" w:beforeAutospacing="0" w:after="0" w:afterAutospacing="0" w:line="240" w:lineRule="auto"/>
              <w:jc w:val="both"/>
              <w:rPr>
                <w:rFonts w:ascii="Times New Roman" w:hAnsi="Times New Roman" w:eastAsia="Times New Roman" w:cs="Times New Roman"/>
                <w:i/>
                <w:iCs/>
                <w:sz w:val="20"/>
                <w:szCs w:val="20"/>
              </w:rPr>
            </w:pPr>
            <w:r>
              <w:rPr>
                <w:rFonts w:ascii="Times New Roman" w:hAnsi="Times New Roman" w:eastAsia="Times New Roman" w:cs="Times New Roman"/>
                <w:i/>
                <w:iCs/>
                <w:sz w:val="20"/>
                <w:szCs w:val="20"/>
              </w:rPr>
              <w:t>Down-select one alternative</w:t>
            </w:r>
            <w:r>
              <w:rPr>
                <w:rStyle w:val="68"/>
                <w:rFonts w:ascii="Times New Roman" w:hAnsi="Times New Roman" w:eastAsia="Times New Roman" w:cs="Times New Roman"/>
                <w:i/>
                <w:iCs/>
                <w:sz w:val="20"/>
                <w:szCs w:val="20"/>
                <w:lang w:val="en-GB"/>
              </w:rPr>
              <w:t> </w:t>
            </w:r>
            <w:r>
              <w:rPr>
                <w:rFonts w:ascii="Times New Roman" w:hAnsi="Times New Roman" w:eastAsia="Times New Roman" w:cs="Times New Roman"/>
                <w:i/>
                <w:iCs/>
                <w:sz w:val="20"/>
                <w:szCs w:val="20"/>
                <w:lang w:val="en-GB"/>
              </w:rPr>
              <w:t>for explicit configuration</w:t>
            </w:r>
          </w:p>
          <w:p>
            <w:pPr>
              <w:pStyle w:val="104"/>
              <w:numPr>
                <w:ilvl w:val="1"/>
                <w:numId w:val="18"/>
              </w:numPr>
              <w:spacing w:before="0" w:beforeAutospacing="0" w:after="0" w:afterAutospacing="0" w:line="240" w:lineRule="auto"/>
              <w:jc w:val="both"/>
              <w:rPr>
                <w:rFonts w:ascii="Times New Roman" w:hAnsi="Times New Roman" w:eastAsia="Times New Roman" w:cs="Times New Roman"/>
                <w:i/>
                <w:iCs/>
                <w:sz w:val="20"/>
                <w:szCs w:val="20"/>
              </w:rPr>
            </w:pPr>
            <w:r>
              <w:rPr>
                <w:rStyle w:val="30"/>
                <w:rFonts w:ascii="Times New Roman" w:hAnsi="Times New Roman" w:eastAsia="Times New Roman" w:cs="Times New Roman"/>
                <w:i/>
                <w:iCs/>
                <w:sz w:val="20"/>
                <w:szCs w:val="20"/>
                <w:lang w:val="en-GB"/>
              </w:rPr>
              <w:t>Alt 2-1</w:t>
            </w:r>
            <w:r>
              <w:rPr>
                <w:rFonts w:ascii="Times New Roman" w:hAnsi="Times New Roman" w:eastAsia="Times New Roman" w:cs="Times New Roman"/>
                <w:i/>
                <w:iCs/>
                <w:sz w:val="20"/>
                <w:szCs w:val="20"/>
              </w:rPr>
              <w:t>:</w:t>
            </w:r>
            <w:r>
              <w:rPr>
                <w:rStyle w:val="68"/>
                <w:rFonts w:ascii="Times New Roman" w:hAnsi="Times New Roman" w:eastAsia="Times New Roman" w:cs="Times New Roman"/>
                <w:i/>
                <w:iCs/>
                <w:sz w:val="20"/>
                <w:szCs w:val="20"/>
              </w:rPr>
              <w:t> </w:t>
            </w:r>
            <w:r>
              <w:rPr>
                <w:rFonts w:ascii="Times New Roman" w:hAnsi="Times New Roman" w:eastAsia="Times New Roman" w:cs="Times New Roman"/>
                <w:i/>
                <w:iCs/>
                <w:sz w:val="20"/>
                <w:szCs w:val="20"/>
                <w:lang w:val="en-GB"/>
              </w:rPr>
              <w:t>Support defining</w:t>
            </w:r>
            <w:r>
              <w:rPr>
                <w:rStyle w:val="68"/>
                <w:rFonts w:ascii="Times New Roman" w:hAnsi="Times New Roman" w:eastAsia="Times New Roman" w:cs="Times New Roman"/>
                <w:i/>
                <w:iCs/>
                <w:sz w:val="20"/>
                <w:szCs w:val="20"/>
                <w:lang w:val="en-GB"/>
              </w:rPr>
              <w:t> </w:t>
            </w:r>
            <w:r>
              <w:rPr>
                <w:rFonts w:ascii="Times New Roman" w:hAnsi="Times New Roman" w:eastAsia="Times New Roman" w:cs="Times New Roman"/>
                <w:i/>
                <w:iCs/>
                <w:sz w:val="20"/>
                <w:szCs w:val="20"/>
              </w:rPr>
              <w:t>CSI-RS resource or SSB pairs as BFD RS</w:t>
            </w:r>
          </w:p>
          <w:p>
            <w:pPr>
              <w:pStyle w:val="104"/>
              <w:numPr>
                <w:ilvl w:val="2"/>
                <w:numId w:val="18"/>
              </w:numPr>
              <w:spacing w:before="0" w:beforeAutospacing="0" w:after="0" w:afterAutospacing="0" w:line="240" w:lineRule="auto"/>
              <w:jc w:val="both"/>
              <w:rPr>
                <w:rFonts w:ascii="Times New Roman" w:hAnsi="Times New Roman" w:eastAsia="Times New Roman" w:cs="Times New Roman"/>
                <w:i/>
                <w:iCs/>
                <w:sz w:val="20"/>
                <w:szCs w:val="20"/>
              </w:rPr>
            </w:pPr>
            <w:r>
              <w:rPr>
                <w:rFonts w:ascii="Times New Roman" w:hAnsi="Times New Roman" w:eastAsia="Times New Roman" w:cs="Times New Roman"/>
                <w:i/>
                <w:iCs/>
                <w:sz w:val="20"/>
                <w:szCs w:val="20"/>
                <w:lang w:val="en-GB"/>
              </w:rPr>
              <w:t>FFS other details</w:t>
            </w:r>
          </w:p>
          <w:p>
            <w:pPr>
              <w:pStyle w:val="104"/>
              <w:numPr>
                <w:ilvl w:val="1"/>
                <w:numId w:val="18"/>
              </w:numPr>
              <w:spacing w:before="0" w:beforeAutospacing="0" w:after="0" w:afterAutospacing="0" w:line="240" w:lineRule="auto"/>
              <w:jc w:val="both"/>
              <w:rPr>
                <w:rFonts w:ascii="Times New Roman" w:hAnsi="Times New Roman" w:eastAsia="Times New Roman" w:cs="Times New Roman"/>
                <w:i/>
                <w:iCs/>
                <w:sz w:val="20"/>
                <w:szCs w:val="20"/>
              </w:rPr>
            </w:pPr>
            <w:r>
              <w:rPr>
                <w:rStyle w:val="30"/>
                <w:rFonts w:ascii="Times New Roman" w:hAnsi="Times New Roman" w:eastAsia="Times New Roman" w:cs="Times New Roman"/>
                <w:i/>
                <w:iCs/>
                <w:sz w:val="20"/>
                <w:szCs w:val="20"/>
                <w:lang w:val="en-GB"/>
              </w:rPr>
              <w:t>Alt 2-2</w:t>
            </w:r>
            <w:r>
              <w:rPr>
                <w:rFonts w:ascii="Times New Roman" w:hAnsi="Times New Roman" w:eastAsia="Times New Roman" w:cs="Times New Roman"/>
                <w:i/>
                <w:iCs/>
                <w:sz w:val="20"/>
                <w:szCs w:val="20"/>
                <w:lang w:val="en-GB"/>
              </w:rPr>
              <w:t>: Reuse the existing Rel-15/Rel-16 approach for BFD RS configuration</w:t>
            </w:r>
          </w:p>
          <w:p>
            <w:pPr>
              <w:pStyle w:val="104"/>
              <w:numPr>
                <w:ilvl w:val="0"/>
                <w:numId w:val="18"/>
              </w:numPr>
              <w:spacing w:before="0" w:beforeAutospacing="0" w:after="0" w:afterAutospacing="0" w:line="240" w:lineRule="auto"/>
              <w:jc w:val="both"/>
              <w:rPr>
                <w:rFonts w:ascii="Times New Roman" w:hAnsi="Times New Roman"/>
                <w:i/>
                <w:iCs/>
                <w:sz w:val="20"/>
                <w:szCs w:val="20"/>
              </w:rPr>
            </w:pPr>
            <w:r>
              <w:rPr>
                <w:rFonts w:ascii="Times New Roman" w:hAnsi="Times New Roman" w:eastAsia="Times New Roman" w:cs="Times New Roman"/>
                <w:i/>
                <w:iCs/>
                <w:sz w:val="20"/>
                <w:szCs w:val="20"/>
                <w:lang w:val="en-GB"/>
              </w:rPr>
              <w:t>Note: down-selection can be done separately for Rel-15/16 cell specific BFR and Rel-17 TRP-specific BFR, Rel-17 TRP-specific BFR to be discussed under AI 8.1.2.3</w:t>
            </w:r>
          </w:p>
          <w:p>
            <w:pPr>
              <w:snapToGrid w:val="0"/>
              <w:spacing w:after="0" w:line="240" w:lineRule="auto"/>
              <w:rPr>
                <w:rFonts w:ascii="Times New Roman" w:hAnsi="Times New Roman"/>
                <w:i/>
                <w:iCs/>
                <w:sz w:val="20"/>
                <w:szCs w:val="20"/>
              </w:rPr>
            </w:pP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w:t>
      </w:r>
      <w:r>
        <w:rPr>
          <w:rFonts w:ascii="Times New Roman" w:hAnsi="Times New Roman"/>
          <w:sz w:val="20"/>
          <w:szCs w:val="20"/>
        </w:rPr>
        <w:t xml:space="preserve">implicit </w:t>
      </w:r>
      <w:r>
        <w:rPr>
          <w:rFonts w:hint="eastAsia" w:ascii="Times New Roman" w:hAnsi="Times New Roman"/>
          <w:sz w:val="20"/>
          <w:szCs w:val="20"/>
        </w:rPr>
        <w:t>BFD</w:t>
      </w:r>
      <w:r>
        <w:rPr>
          <w:rFonts w:ascii="Times New Roman" w:hAnsi="Times New Roman"/>
          <w:sz w:val="20"/>
          <w:szCs w:val="20"/>
        </w:rPr>
        <w:t xml:space="preserve"> configuration</w:t>
      </w:r>
      <w:r>
        <w:rPr>
          <w:rFonts w:hint="eastAsia" w:ascii="Times New Roman" w:hAnsi="Times New Roman"/>
          <w:sz w:val="20"/>
          <w:szCs w:val="20"/>
        </w:rPr>
        <w:t xml:space="preserve">, if two TCI states are activated for the CORESETs, whether one or two RS </w:t>
      </w:r>
      <w:r>
        <w:rPr>
          <w:rFonts w:ascii="Times New Roman" w:hAnsi="Times New Roman"/>
          <w:sz w:val="20"/>
          <w:szCs w:val="20"/>
        </w:rPr>
        <w:t>associated with</w:t>
      </w:r>
      <w:r>
        <w:rPr>
          <w:rFonts w:hint="eastAsia" w:ascii="Times New Roman" w:hAnsi="Times New Roman"/>
          <w:sz w:val="20"/>
          <w:szCs w:val="20"/>
        </w:rPr>
        <w:t xml:space="preserve"> the two TCI states be</w:t>
      </w:r>
      <w:r>
        <w:rPr>
          <w:rFonts w:ascii="Times New Roman" w:hAnsi="Times New Roman"/>
          <w:sz w:val="20"/>
          <w:szCs w:val="20"/>
        </w:rPr>
        <w:t>ing</w:t>
      </w:r>
      <w:r>
        <w:rPr>
          <w:rFonts w:hint="eastAsia" w:ascii="Times New Roman" w:hAnsi="Times New Roman"/>
          <w:sz w:val="20"/>
          <w:szCs w:val="20"/>
        </w:rPr>
        <w:t xml:space="preserve"> used</w:t>
      </w:r>
      <w:r>
        <w:rPr>
          <w:rFonts w:ascii="Times New Roman" w:hAnsi="Times New Roman"/>
          <w:sz w:val="20"/>
          <w:szCs w:val="20"/>
        </w:rPr>
        <w:t xml:space="preserve"> for BFD</w:t>
      </w:r>
      <w:r>
        <w:rPr>
          <w:rFonts w:hint="eastAsia" w:ascii="Times New Roman" w:hAnsi="Times New Roman"/>
          <w:sz w:val="20"/>
          <w:szCs w:val="20"/>
        </w:rPr>
        <w:t xml:space="preserve"> should be decided. From our </w:t>
      </w:r>
      <w:r>
        <w:rPr>
          <w:rFonts w:ascii="Times New Roman" w:hAnsi="Times New Roman"/>
          <w:sz w:val="20"/>
          <w:szCs w:val="20"/>
        </w:rPr>
        <w:t>view</w:t>
      </w:r>
      <w:r>
        <w:rPr>
          <w:rFonts w:hint="eastAsia" w:ascii="Times New Roman" w:hAnsi="Times New Roman"/>
          <w:sz w:val="20"/>
          <w:szCs w:val="20"/>
        </w:rPr>
        <w:t xml:space="preserve">, only one TCI state of these CORESETs </w:t>
      </w:r>
      <w:r>
        <w:rPr>
          <w:rFonts w:ascii="Times New Roman" w:hAnsi="Times New Roman"/>
          <w:sz w:val="20"/>
          <w:szCs w:val="20"/>
        </w:rPr>
        <w:t xml:space="preserve">with two activated TCI states </w:t>
      </w:r>
      <w:r>
        <w:rPr>
          <w:rFonts w:hint="eastAsia" w:ascii="Times New Roman" w:hAnsi="Times New Roman"/>
          <w:sz w:val="20"/>
          <w:szCs w:val="20"/>
        </w:rPr>
        <w:t xml:space="preserve">cannot </w:t>
      </w:r>
      <w:r>
        <w:rPr>
          <w:rFonts w:ascii="Times New Roman" w:hAnsi="Times New Roman"/>
          <w:sz w:val="20"/>
          <w:szCs w:val="20"/>
        </w:rPr>
        <w:t xml:space="preserve">accurately </w:t>
      </w:r>
      <w:r>
        <w:rPr>
          <w:rFonts w:hint="eastAsia" w:ascii="Times New Roman" w:hAnsi="Times New Roman"/>
          <w:sz w:val="20"/>
          <w:szCs w:val="20"/>
        </w:rPr>
        <w:t>re</w:t>
      </w:r>
      <w:r>
        <w:rPr>
          <w:rFonts w:ascii="Times New Roman" w:hAnsi="Times New Roman"/>
          <w:sz w:val="20"/>
          <w:szCs w:val="20"/>
        </w:rPr>
        <w:t>flect</w:t>
      </w:r>
      <w:r>
        <w:rPr>
          <w:rFonts w:hint="eastAsia" w:ascii="Times New Roman" w:hAnsi="Times New Roman"/>
          <w:sz w:val="20"/>
          <w:szCs w:val="20"/>
        </w:rPr>
        <w:t xml:space="preserve"> the actual transmission </w:t>
      </w:r>
      <w:r>
        <w:rPr>
          <w:rFonts w:ascii="Times New Roman" w:hAnsi="Times New Roman"/>
          <w:sz w:val="20"/>
          <w:szCs w:val="20"/>
        </w:rPr>
        <w:t>status</w:t>
      </w:r>
      <w:r>
        <w:rPr>
          <w:rFonts w:hint="eastAsia" w:ascii="Times New Roman" w:hAnsi="Times New Roman"/>
          <w:sz w:val="20"/>
          <w:szCs w:val="20"/>
        </w:rPr>
        <w:t xml:space="preserve"> of SFN</w:t>
      </w:r>
      <w:r>
        <w:rPr>
          <w:rFonts w:ascii="Times New Roman" w:hAnsi="Times New Roman"/>
          <w:sz w:val="20"/>
          <w:szCs w:val="20"/>
        </w:rPr>
        <w:t xml:space="preserve"> mannered PDCCH. Even</w:t>
      </w:r>
      <w:r>
        <w:rPr>
          <w:rFonts w:hint="eastAsia" w:ascii="Times New Roman" w:hAnsi="Times New Roman"/>
          <w:sz w:val="20"/>
          <w:szCs w:val="20"/>
        </w:rPr>
        <w:t xml:space="preserve"> if the selected TCI state for BFD is detected as beam failure, the other TCI state </w:t>
      </w:r>
      <w:r>
        <w:rPr>
          <w:rFonts w:ascii="Times New Roman" w:hAnsi="Times New Roman"/>
          <w:sz w:val="20"/>
          <w:szCs w:val="20"/>
        </w:rPr>
        <w:t>may</w:t>
      </w:r>
      <w:r>
        <w:rPr>
          <w:rFonts w:hint="eastAsia" w:ascii="Times New Roman" w:hAnsi="Times New Roman"/>
          <w:sz w:val="20"/>
          <w:szCs w:val="20"/>
        </w:rPr>
        <w:t xml:space="preserve"> still work for the DL transmission</w:t>
      </w:r>
      <w:r>
        <w:rPr>
          <w:rFonts w:ascii="Times New Roman" w:hAnsi="Times New Roman"/>
          <w:sz w:val="20"/>
          <w:szCs w:val="20"/>
        </w:rPr>
        <w:t>. In such case,</w:t>
      </w:r>
      <w:r>
        <w:rPr>
          <w:rFonts w:hint="eastAsia" w:ascii="Times New Roman" w:hAnsi="Times New Roman"/>
          <w:sz w:val="20"/>
          <w:szCs w:val="20"/>
        </w:rPr>
        <w:t xml:space="preserve"> </w:t>
      </w:r>
      <w:r>
        <w:rPr>
          <w:rFonts w:ascii="Times New Roman" w:hAnsi="Times New Roman"/>
          <w:sz w:val="20"/>
          <w:szCs w:val="20"/>
        </w:rPr>
        <w:t xml:space="preserve">if </w:t>
      </w:r>
      <w:r>
        <w:rPr>
          <w:rFonts w:hint="eastAsia" w:ascii="Times New Roman" w:hAnsi="Times New Roman"/>
          <w:sz w:val="20"/>
          <w:szCs w:val="20"/>
        </w:rPr>
        <w:t>the UE still report</w:t>
      </w:r>
      <w:r>
        <w:rPr>
          <w:rFonts w:ascii="Times New Roman" w:hAnsi="Times New Roman"/>
          <w:sz w:val="20"/>
          <w:szCs w:val="20"/>
        </w:rPr>
        <w:t>s</w:t>
      </w:r>
      <w:r>
        <w:rPr>
          <w:rFonts w:hint="eastAsia" w:ascii="Times New Roman" w:hAnsi="Times New Roman"/>
          <w:sz w:val="20"/>
          <w:szCs w:val="20"/>
        </w:rPr>
        <w:t xml:space="preserve"> </w:t>
      </w:r>
      <w:r>
        <w:rPr>
          <w:rFonts w:ascii="Times New Roman" w:hAnsi="Times New Roman"/>
          <w:sz w:val="20"/>
          <w:szCs w:val="20"/>
        </w:rPr>
        <w:t>beam</w:t>
      </w:r>
      <w:r>
        <w:rPr>
          <w:rFonts w:hint="eastAsia" w:ascii="Times New Roman" w:hAnsi="Times New Roman"/>
          <w:sz w:val="20"/>
          <w:szCs w:val="20"/>
        </w:rPr>
        <w:t xml:space="preserve"> failure to gNB, that will surly </w:t>
      </w:r>
      <w:r>
        <w:rPr>
          <w:rFonts w:ascii="Times New Roman" w:hAnsi="Times New Roman"/>
          <w:sz w:val="20"/>
          <w:szCs w:val="20"/>
        </w:rPr>
        <w:t>cause</w:t>
      </w:r>
      <w:r>
        <w:rPr>
          <w:rFonts w:hint="eastAsia" w:ascii="Times New Roman" w:hAnsi="Times New Roman"/>
          <w:sz w:val="20"/>
          <w:szCs w:val="20"/>
        </w:rPr>
        <w:t xml:space="preserve"> more </w:t>
      </w:r>
      <w:r>
        <w:rPr>
          <w:rFonts w:ascii="Times New Roman" w:hAnsi="Times New Roman"/>
          <w:sz w:val="20"/>
          <w:szCs w:val="20"/>
        </w:rPr>
        <w:t xml:space="preserve">UE </w:t>
      </w:r>
      <w:r>
        <w:rPr>
          <w:rFonts w:hint="eastAsia" w:ascii="Times New Roman" w:hAnsi="Times New Roman"/>
          <w:sz w:val="20"/>
          <w:szCs w:val="20"/>
        </w:rPr>
        <w:t>complexity</w:t>
      </w:r>
      <w:r>
        <w:rPr>
          <w:rFonts w:ascii="Times New Roman" w:hAnsi="Times New Roman"/>
          <w:sz w:val="20"/>
          <w:szCs w:val="20"/>
        </w:rPr>
        <w:t xml:space="preserve"> and</w:t>
      </w:r>
      <w:r>
        <w:rPr>
          <w:rFonts w:hint="eastAsia" w:ascii="Times New Roman" w:hAnsi="Times New Roman"/>
          <w:sz w:val="20"/>
          <w:szCs w:val="20"/>
        </w:rPr>
        <w:t xml:space="preserve"> </w:t>
      </w:r>
      <w:r>
        <w:rPr>
          <w:rFonts w:ascii="Times New Roman" w:hAnsi="Times New Roman"/>
          <w:sz w:val="20"/>
          <w:szCs w:val="20"/>
        </w:rPr>
        <w:t>unnecessary UL resource waste</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If a pair</w:t>
      </w:r>
      <w:r>
        <w:rPr>
          <w:rFonts w:ascii="Times New Roman" w:hAnsi="Times New Roman"/>
          <w:sz w:val="20"/>
          <w:szCs w:val="20"/>
        </w:rPr>
        <w:t xml:space="preserve"> of RS</w:t>
      </w:r>
      <w:r>
        <w:rPr>
          <w:rFonts w:hint="eastAsia" w:ascii="Times New Roman" w:hAnsi="Times New Roman"/>
          <w:sz w:val="20"/>
          <w:szCs w:val="20"/>
        </w:rPr>
        <w:t xml:space="preserve"> is </w:t>
      </w:r>
      <w:r>
        <w:rPr>
          <w:rFonts w:ascii="Times New Roman" w:hAnsi="Times New Roman"/>
          <w:sz w:val="20"/>
          <w:szCs w:val="20"/>
        </w:rPr>
        <w:t>jointly used to determine whether beam failure happens or not</w:t>
      </w:r>
      <w:r>
        <w:rPr>
          <w:rFonts w:hint="eastAsia" w:ascii="Times New Roman" w:hAnsi="Times New Roman"/>
          <w:sz w:val="20"/>
          <w:szCs w:val="20"/>
        </w:rPr>
        <w:t xml:space="preserve">, a new BLER </w:t>
      </w:r>
      <w:r>
        <w:rPr>
          <w:rFonts w:ascii="Times New Roman" w:hAnsi="Times New Roman"/>
          <w:sz w:val="20"/>
          <w:szCs w:val="20"/>
        </w:rPr>
        <w:t>should be</w:t>
      </w:r>
      <w:r>
        <w:rPr>
          <w:rFonts w:hint="eastAsia" w:ascii="Times New Roman" w:hAnsi="Times New Roman"/>
          <w:sz w:val="20"/>
          <w:szCs w:val="20"/>
        </w:rPr>
        <w:t xml:space="preserve"> calculated based on the two TCI states of the CORESET, and the combined BLER can </w:t>
      </w:r>
      <w:r>
        <w:rPr>
          <w:rFonts w:ascii="Times New Roman" w:hAnsi="Times New Roman"/>
          <w:sz w:val="20"/>
          <w:szCs w:val="20"/>
        </w:rPr>
        <w:t>well match</w:t>
      </w:r>
      <w:r>
        <w:rPr>
          <w:rFonts w:hint="eastAsia" w:ascii="Times New Roman" w:hAnsi="Times New Roman"/>
          <w:sz w:val="20"/>
          <w:szCs w:val="20"/>
        </w:rPr>
        <w:t xml:space="preserve"> </w:t>
      </w:r>
      <w:r>
        <w:rPr>
          <w:rFonts w:ascii="Times New Roman" w:hAnsi="Times New Roman"/>
          <w:sz w:val="20"/>
          <w:szCs w:val="20"/>
        </w:rPr>
        <w:t>the</w:t>
      </w:r>
      <w:r>
        <w:rPr>
          <w:rFonts w:hint="eastAsia" w:ascii="Times New Roman" w:hAnsi="Times New Roman"/>
          <w:sz w:val="20"/>
          <w:szCs w:val="20"/>
        </w:rPr>
        <w:t xml:space="preserve"> actual </w:t>
      </w:r>
      <w:r>
        <w:rPr>
          <w:rFonts w:ascii="Times New Roman" w:hAnsi="Times New Roman"/>
          <w:sz w:val="20"/>
          <w:szCs w:val="20"/>
        </w:rPr>
        <w:t xml:space="preserve">PDCCH </w:t>
      </w:r>
      <w:r>
        <w:rPr>
          <w:rFonts w:hint="eastAsia" w:ascii="Times New Roman" w:hAnsi="Times New Roman"/>
          <w:sz w:val="20"/>
          <w:szCs w:val="20"/>
        </w:rPr>
        <w:t xml:space="preserve">transmission </w:t>
      </w:r>
      <w:r>
        <w:rPr>
          <w:rFonts w:ascii="Times New Roman" w:hAnsi="Times New Roman"/>
          <w:sz w:val="20"/>
          <w:szCs w:val="20"/>
        </w:rPr>
        <w:t>status</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So, from the above analysis, we </w:t>
      </w:r>
      <w:r>
        <w:rPr>
          <w:rFonts w:ascii="Times New Roman" w:hAnsi="Times New Roman"/>
          <w:sz w:val="20"/>
          <w:szCs w:val="20"/>
        </w:rPr>
        <w:t>think the above Alt 1-2 and 2-1 are more appropriate.</w:t>
      </w:r>
    </w:p>
    <w:p>
      <w:pPr>
        <w:snapToGrid w:val="0"/>
        <w:spacing w:after="0" w:line="240" w:lineRule="auto"/>
        <w:rPr>
          <w:rStyle w:val="34"/>
        </w:rPr>
      </w:pPr>
      <w:r>
        <w:rPr>
          <w:rFonts w:hint="eastAsia" w:ascii="Times New Roman" w:hAnsi="Times New Roman"/>
          <w:b/>
          <w:bCs/>
          <w:i/>
          <w:iCs/>
          <w:sz w:val="20"/>
          <w:szCs w:val="20"/>
        </w:rPr>
        <w:t xml:space="preserve">Proposal 14: </w:t>
      </w:r>
      <w:r>
        <w:rPr>
          <w:rFonts w:ascii="Times New Roman" w:hAnsi="Times New Roman"/>
          <w:i/>
          <w:iCs/>
          <w:sz w:val="20"/>
          <w:szCs w:val="20"/>
        </w:rPr>
        <w:t>F</w:t>
      </w:r>
      <w:r>
        <w:rPr>
          <w:rFonts w:hint="eastAsia" w:ascii="Times New Roman" w:hAnsi="Times New Roman"/>
          <w:i/>
          <w:iCs/>
          <w:sz w:val="20"/>
          <w:szCs w:val="20"/>
        </w:rPr>
        <w:t xml:space="preserve">or BFD, </w:t>
      </w:r>
      <w:r>
        <w:rPr>
          <w:rFonts w:ascii="Times New Roman" w:hAnsi="Times New Roman"/>
          <w:i/>
          <w:iCs/>
          <w:sz w:val="20"/>
          <w:szCs w:val="20"/>
        </w:rPr>
        <w:t xml:space="preserve">the above </w:t>
      </w:r>
      <w:r>
        <w:rPr>
          <w:rFonts w:hint="eastAsia" w:ascii="Times New Roman" w:hAnsi="Times New Roman"/>
          <w:i/>
          <w:iCs/>
          <w:sz w:val="20"/>
          <w:szCs w:val="20"/>
        </w:rPr>
        <w:t>Alt 1-2</w:t>
      </w:r>
      <w:r>
        <w:rPr>
          <w:rFonts w:ascii="Times New Roman" w:hAnsi="Times New Roman"/>
          <w:i/>
          <w:iCs/>
          <w:sz w:val="20"/>
          <w:szCs w:val="20"/>
        </w:rPr>
        <w:t xml:space="preserve"> and</w:t>
      </w:r>
      <w:r>
        <w:rPr>
          <w:rFonts w:hint="eastAsia" w:ascii="Times New Roman" w:hAnsi="Times New Roman"/>
          <w:i/>
          <w:iCs/>
          <w:sz w:val="20"/>
          <w:szCs w:val="20"/>
        </w:rPr>
        <w:t xml:space="preserve"> Alt 2-1 should be supported</w:t>
      </w:r>
      <w:r>
        <w:rPr>
          <w:rFonts w:ascii="Times New Roman" w:hAnsi="Times New Roman"/>
          <w:i/>
          <w:iCs/>
          <w:sz w:val="20"/>
          <w:szCs w:val="20"/>
        </w:rPr>
        <w:t>, i.e</w:t>
      </w:r>
      <w:r>
        <w:rPr>
          <w:rFonts w:hint="eastAsia" w:ascii="Times New Roman" w:hAnsi="Times New Roman"/>
          <w:i/>
          <w:iCs/>
          <w:sz w:val="20"/>
          <w:szCs w:val="20"/>
        </w:rPr>
        <w:t>.</w:t>
      </w:r>
    </w:p>
    <w:p>
      <w:pPr>
        <w:numPr>
          <w:ilvl w:val="0"/>
          <w:numId w:val="17"/>
        </w:numPr>
        <w:snapToGrid w:val="0"/>
        <w:spacing w:after="0" w:line="240" w:lineRule="auto"/>
        <w:ind w:left="839"/>
        <w:jc w:val="both"/>
        <w:rPr>
          <w:rFonts w:ascii="Times New Roman" w:hAnsi="Times New Roman"/>
          <w:i/>
          <w:iCs/>
          <w:sz w:val="20"/>
          <w:szCs w:val="20"/>
          <w:lang w:val="en-GB" w:eastAsia="ko-KR"/>
        </w:rPr>
      </w:pPr>
      <w:bookmarkStart w:id="22" w:name="OLE_LINK1"/>
      <w:r>
        <w:rPr>
          <w:rFonts w:hint="eastAsia" w:ascii="Times New Roman" w:hAnsi="Times New Roman"/>
          <w:i/>
          <w:iCs/>
          <w:sz w:val="20"/>
          <w:szCs w:val="20"/>
        </w:rPr>
        <w:t>F</w:t>
      </w:r>
      <w:r>
        <w:rPr>
          <w:rFonts w:ascii="Times New Roman" w:hAnsi="Times New Roman"/>
          <w:i/>
          <w:iCs/>
          <w:sz w:val="20"/>
          <w:szCs w:val="20"/>
        </w:rPr>
        <w:t xml:space="preserve">or implicit configuration, </w:t>
      </w:r>
      <w:r>
        <w:rPr>
          <w:rFonts w:ascii="Times New Roman" w:hAnsi="Times New Roman"/>
          <w:i/>
          <w:iCs/>
          <w:sz w:val="20"/>
          <w:szCs w:val="20"/>
          <w:lang w:val="en-GB" w:eastAsia="ko-KR"/>
        </w:rPr>
        <w:t>RS of CORESETs with both single and two TCI states are used</w:t>
      </w:r>
      <w:r>
        <w:rPr>
          <w:rFonts w:ascii="Times New Roman" w:hAnsi="Times New Roman"/>
          <w:i/>
          <w:iCs/>
          <w:sz w:val="20"/>
          <w:szCs w:val="20"/>
        </w:rPr>
        <w:t>;</w:t>
      </w:r>
    </w:p>
    <w:p>
      <w:pPr>
        <w:numPr>
          <w:ilvl w:val="0"/>
          <w:numId w:val="17"/>
        </w:numPr>
        <w:snapToGrid w:val="0"/>
        <w:spacing w:after="0" w:line="240" w:lineRule="auto"/>
        <w:ind w:left="839"/>
        <w:jc w:val="both"/>
        <w:rPr>
          <w:rFonts w:ascii="Times New Roman" w:hAnsi="Times New Roman"/>
          <w:i/>
          <w:iCs/>
          <w:sz w:val="20"/>
          <w:szCs w:val="20"/>
          <w:lang w:val="en-GB" w:eastAsia="ko-KR"/>
        </w:rPr>
      </w:pPr>
      <w:r>
        <w:rPr>
          <w:rFonts w:hint="eastAsia" w:ascii="Times New Roman" w:hAnsi="Times New Roman"/>
          <w:i/>
          <w:iCs/>
          <w:sz w:val="20"/>
          <w:szCs w:val="20"/>
        </w:rPr>
        <w:t>F</w:t>
      </w:r>
      <w:r>
        <w:rPr>
          <w:rFonts w:ascii="Times New Roman" w:hAnsi="Times New Roman"/>
          <w:i/>
          <w:iCs/>
          <w:sz w:val="20"/>
          <w:szCs w:val="20"/>
        </w:rPr>
        <w:t xml:space="preserve">or </w:t>
      </w:r>
      <w:r>
        <w:rPr>
          <w:rFonts w:ascii="Times New Roman" w:hAnsi="Times New Roman"/>
          <w:i/>
          <w:iCs/>
          <w:sz w:val="20"/>
          <w:szCs w:val="20"/>
          <w:lang w:val="en-GB" w:eastAsia="ko-KR"/>
        </w:rPr>
        <w:t>explicit configuration</w:t>
      </w:r>
      <w:r>
        <w:rPr>
          <w:rFonts w:ascii="Times New Roman" w:hAnsi="Times New Roman"/>
          <w:i/>
          <w:iCs/>
          <w:sz w:val="20"/>
          <w:szCs w:val="20"/>
        </w:rPr>
        <w:t xml:space="preserve">, </w:t>
      </w:r>
      <w:r>
        <w:rPr>
          <w:rFonts w:hint="eastAsia" w:ascii="Times New Roman" w:hAnsi="Times New Roman"/>
          <w:i/>
          <w:iCs/>
          <w:sz w:val="20"/>
          <w:szCs w:val="20"/>
        </w:rPr>
        <w:t>s</w:t>
      </w:r>
      <w:r>
        <w:rPr>
          <w:rFonts w:ascii="Times New Roman" w:hAnsi="Times New Roman"/>
          <w:i/>
          <w:iCs/>
          <w:sz w:val="20"/>
          <w:szCs w:val="20"/>
          <w:lang w:val="en-GB" w:eastAsia="ko-KR"/>
        </w:rPr>
        <w:t xml:space="preserve">upport defining </w:t>
      </w:r>
      <w:r>
        <w:rPr>
          <w:rFonts w:ascii="Times New Roman" w:hAnsi="Times New Roman"/>
          <w:i/>
          <w:iCs/>
          <w:sz w:val="20"/>
          <w:szCs w:val="20"/>
        </w:rPr>
        <w:t>CSI-RS resource or SSB pairs;</w:t>
      </w:r>
    </w:p>
    <w:p>
      <w:pPr>
        <w:numPr>
          <w:ilvl w:val="0"/>
          <w:numId w:val="17"/>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F</w:t>
      </w:r>
      <w:r>
        <w:rPr>
          <w:rFonts w:ascii="Times New Roman" w:hAnsi="Times New Roman"/>
          <w:i/>
          <w:iCs/>
          <w:sz w:val="20"/>
          <w:szCs w:val="20"/>
        </w:rPr>
        <w:t>or assumptions for hypothetical BLER calculation for PDCCH, UE calculates one hypothetical BLER under SFN assumption of BFD RS pairs.</w:t>
      </w:r>
    </w:p>
    <w:bookmarkEnd w:id="22"/>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Similarly</w:t>
      </w:r>
      <w:r>
        <w:rPr>
          <w:rFonts w:ascii="Times New Roman" w:hAnsi="Times New Roman"/>
          <w:sz w:val="20"/>
          <w:szCs w:val="20"/>
        </w:rPr>
        <w:t xml:space="preserve"> for NBI</w:t>
      </w:r>
      <w:r>
        <w:rPr>
          <w:rFonts w:hint="eastAsia" w:ascii="Times New Roman" w:hAnsi="Times New Roman"/>
          <w:sz w:val="20"/>
          <w:szCs w:val="20"/>
        </w:rPr>
        <w:t xml:space="preserve">, </w:t>
      </w:r>
      <w:r>
        <w:rPr>
          <w:rFonts w:ascii="Times New Roman" w:hAnsi="Times New Roman"/>
          <w:sz w:val="20"/>
          <w:szCs w:val="20"/>
        </w:rPr>
        <w:t>t</w:t>
      </w:r>
      <w:r>
        <w:rPr>
          <w:rFonts w:hint="eastAsia" w:ascii="Times New Roman" w:hAnsi="Times New Roman"/>
          <w:sz w:val="20"/>
          <w:szCs w:val="20"/>
        </w:rPr>
        <w:t xml:space="preserve">he candidate </w:t>
      </w:r>
      <w:r>
        <w:rPr>
          <w:rFonts w:ascii="Times New Roman" w:hAnsi="Times New Roman"/>
          <w:sz w:val="20"/>
          <w:szCs w:val="20"/>
        </w:rPr>
        <w:t xml:space="preserve">of new </w:t>
      </w:r>
      <w:r>
        <w:rPr>
          <w:rFonts w:hint="eastAsia" w:ascii="Times New Roman" w:hAnsi="Times New Roman"/>
          <w:sz w:val="20"/>
          <w:szCs w:val="20"/>
        </w:rPr>
        <w:t>beam</w:t>
      </w:r>
      <w:r>
        <w:rPr>
          <w:rFonts w:ascii="Times New Roman" w:hAnsi="Times New Roman"/>
          <w:sz w:val="20"/>
          <w:szCs w:val="20"/>
        </w:rPr>
        <w:t>s</w:t>
      </w:r>
      <w:r>
        <w:rPr>
          <w:rFonts w:hint="eastAsia" w:ascii="Times New Roman" w:hAnsi="Times New Roman"/>
          <w:sz w:val="20"/>
          <w:szCs w:val="20"/>
        </w:rPr>
        <w:t xml:space="preserve"> </w:t>
      </w:r>
      <w:r>
        <w:rPr>
          <w:rFonts w:ascii="Times New Roman" w:hAnsi="Times New Roman"/>
          <w:sz w:val="20"/>
          <w:szCs w:val="20"/>
        </w:rPr>
        <w:t>can</w:t>
      </w:r>
      <w:r>
        <w:rPr>
          <w:rFonts w:hint="eastAsia" w:ascii="Times New Roman" w:hAnsi="Times New Roman"/>
          <w:sz w:val="20"/>
          <w:szCs w:val="20"/>
        </w:rPr>
        <w:t xml:space="preserve"> be configured containing </w:t>
      </w:r>
      <w:r>
        <w:rPr>
          <w:rFonts w:ascii="Times New Roman" w:hAnsi="Times New Roman"/>
          <w:sz w:val="20"/>
          <w:szCs w:val="20"/>
        </w:rPr>
        <w:t>either</w:t>
      </w:r>
      <w:r>
        <w:rPr>
          <w:rFonts w:hint="eastAsia" w:ascii="Times New Roman" w:hAnsi="Times New Roman"/>
          <w:sz w:val="20"/>
          <w:szCs w:val="20"/>
        </w:rPr>
        <w:t xml:space="preserve"> </w:t>
      </w:r>
      <w:r>
        <w:rPr>
          <w:rFonts w:ascii="Times New Roman" w:hAnsi="Times New Roman"/>
          <w:sz w:val="20"/>
          <w:szCs w:val="20"/>
        </w:rPr>
        <w:t xml:space="preserve">one individual beam or a beam </w:t>
      </w:r>
      <w:r>
        <w:rPr>
          <w:rFonts w:hint="eastAsia" w:ascii="Times New Roman" w:hAnsi="Times New Roman"/>
          <w:sz w:val="20"/>
          <w:szCs w:val="20"/>
        </w:rPr>
        <w:t>pair</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 xml:space="preserve">If UE can identify one new beam pair, it will be very helpful in HST scenario where </w:t>
      </w:r>
      <w:r>
        <w:rPr>
          <w:rFonts w:hint="eastAsia" w:ascii="Times New Roman" w:hAnsi="Times New Roman"/>
          <w:sz w:val="20"/>
          <w:szCs w:val="20"/>
        </w:rPr>
        <w:t xml:space="preserve">the </w:t>
      </w:r>
      <w:r>
        <w:rPr>
          <w:rFonts w:ascii="Times New Roman" w:hAnsi="Times New Roman"/>
          <w:sz w:val="20"/>
          <w:szCs w:val="20"/>
        </w:rPr>
        <w:t xml:space="preserve">beam </w:t>
      </w:r>
      <w:r>
        <w:rPr>
          <w:rFonts w:hint="eastAsia" w:ascii="Times New Roman" w:hAnsi="Times New Roman"/>
          <w:sz w:val="20"/>
          <w:szCs w:val="20"/>
        </w:rPr>
        <w:t>pair can be used for SFN based transmission</w:t>
      </w:r>
      <w:r>
        <w:rPr>
          <w:rFonts w:ascii="Times New Roman" w:hAnsi="Times New Roman"/>
          <w:sz w:val="20"/>
          <w:szCs w:val="20"/>
        </w:rPr>
        <w:t>. Otherwise,</w:t>
      </w:r>
      <w:r>
        <w:rPr>
          <w:rFonts w:hint="eastAsia" w:ascii="Times New Roman" w:hAnsi="Times New Roman"/>
          <w:sz w:val="20"/>
          <w:szCs w:val="20"/>
        </w:rPr>
        <w:t xml:space="preserve"> the individual</w:t>
      </w:r>
      <w:r>
        <w:rPr>
          <w:rFonts w:ascii="Times New Roman" w:hAnsi="Times New Roman"/>
          <w:sz w:val="20"/>
          <w:szCs w:val="20"/>
        </w:rPr>
        <w:t xml:space="preserve"> new beam</w:t>
      </w:r>
      <w:r>
        <w:rPr>
          <w:rFonts w:hint="eastAsia" w:ascii="Times New Roman" w:hAnsi="Times New Roman"/>
          <w:sz w:val="20"/>
          <w:szCs w:val="20"/>
        </w:rPr>
        <w:t xml:space="preserve"> </w:t>
      </w:r>
      <w:r>
        <w:rPr>
          <w:rFonts w:ascii="Times New Roman" w:hAnsi="Times New Roman"/>
          <w:sz w:val="20"/>
          <w:szCs w:val="20"/>
        </w:rPr>
        <w:t>should</w:t>
      </w:r>
      <w:r>
        <w:rPr>
          <w:rFonts w:hint="eastAsia" w:ascii="Times New Roman" w:hAnsi="Times New Roman"/>
          <w:sz w:val="20"/>
          <w:szCs w:val="20"/>
        </w:rPr>
        <w:t xml:space="preserve"> be used for </w:t>
      </w:r>
      <w:r>
        <w:rPr>
          <w:rFonts w:ascii="Times New Roman" w:hAnsi="Times New Roman"/>
          <w:sz w:val="20"/>
          <w:szCs w:val="20"/>
        </w:rPr>
        <w:t>single TRP transmission</w:t>
      </w:r>
      <w:r>
        <w:rPr>
          <w:rFonts w:hint="eastAsia" w:ascii="Times New Roman" w:hAnsi="Times New Roman"/>
          <w:sz w:val="20"/>
          <w:szCs w:val="20"/>
        </w:rPr>
        <w:t>.</w:t>
      </w:r>
    </w:p>
    <w:p>
      <w:pPr>
        <w:snapToGrid w:val="0"/>
        <w:spacing w:before="180" w:beforeLines="50" w:after="10" w:line="240" w:lineRule="auto"/>
        <w:rPr>
          <w:rFonts w:ascii="Times New Roman" w:hAnsi="Times New Roman"/>
          <w:sz w:val="20"/>
          <w:szCs w:val="20"/>
        </w:rPr>
      </w:pPr>
      <w:bookmarkStart w:id="23" w:name="OLE_LINK21"/>
      <w:r>
        <w:rPr>
          <w:rFonts w:hint="eastAsia" w:ascii="Times New Roman" w:hAnsi="Times New Roman"/>
          <w:b/>
          <w:bCs/>
          <w:i/>
          <w:iCs/>
          <w:sz w:val="20"/>
          <w:szCs w:val="20"/>
        </w:rPr>
        <w:t xml:space="preserve">Proposal 15: </w:t>
      </w:r>
      <w:r>
        <w:rPr>
          <w:rFonts w:ascii="Times New Roman" w:hAnsi="Times New Roman"/>
          <w:i/>
          <w:iCs/>
          <w:sz w:val="20"/>
          <w:szCs w:val="20"/>
        </w:rPr>
        <w:t>F</w:t>
      </w:r>
      <w:r>
        <w:rPr>
          <w:rFonts w:hint="eastAsia" w:ascii="Times New Roman" w:hAnsi="Times New Roman"/>
          <w:i/>
          <w:iCs/>
          <w:sz w:val="20"/>
          <w:szCs w:val="20"/>
        </w:rPr>
        <w:t xml:space="preserve">or NBI, </w:t>
      </w:r>
      <w:r>
        <w:rPr>
          <w:rFonts w:ascii="Times New Roman" w:hAnsi="Times New Roman"/>
          <w:i/>
          <w:iCs/>
          <w:sz w:val="20"/>
          <w:szCs w:val="20"/>
        </w:rPr>
        <w:t>support both</w:t>
      </w:r>
      <w:r>
        <w:rPr>
          <w:rFonts w:hint="eastAsia" w:ascii="Times New Roman" w:hAnsi="Times New Roman"/>
          <w:i/>
          <w:iCs/>
          <w:sz w:val="20"/>
          <w:szCs w:val="20"/>
        </w:rPr>
        <w:t xml:space="preserve"> beam pair and individual beam as the </w:t>
      </w:r>
      <w:r>
        <w:rPr>
          <w:rFonts w:ascii="Times New Roman" w:hAnsi="Times New Roman"/>
          <w:i/>
          <w:iCs/>
          <w:sz w:val="20"/>
          <w:szCs w:val="20"/>
        </w:rPr>
        <w:t xml:space="preserve">new </w:t>
      </w:r>
      <w:r>
        <w:rPr>
          <w:rFonts w:hint="eastAsia" w:ascii="Times New Roman" w:hAnsi="Times New Roman"/>
          <w:i/>
          <w:iCs/>
          <w:sz w:val="20"/>
          <w:szCs w:val="20"/>
        </w:rPr>
        <w:t>candidate beam.</w:t>
      </w:r>
    </w:p>
    <w:bookmarkEnd w:id="12"/>
    <w:bookmarkEnd w:id="16"/>
    <w:bookmarkEnd w:id="23"/>
    <w:p>
      <w:pPr>
        <w:pStyle w:val="2"/>
        <w:snapToGrid w:val="0"/>
        <w:spacing w:before="180" w:beforeLines="50" w:after="180" w:afterLines="50"/>
        <w:ind w:left="431" w:hanging="431"/>
        <w:rPr>
          <w:lang w:val="en-US"/>
        </w:rPr>
      </w:pPr>
      <w:r>
        <w:rPr>
          <w:lang w:val="en-US"/>
        </w:rPr>
        <w:t>Conclusions</w:t>
      </w:r>
    </w:p>
    <w:p>
      <w:pPr>
        <w:snapToGrid w:val="0"/>
        <w:spacing w:before="180" w:beforeLines="50" w:after="180" w:afterLines="50" w:line="240" w:lineRule="auto"/>
        <w:jc w:val="both"/>
        <w:rPr>
          <w:rFonts w:ascii="Times New Roman" w:hAnsi="Times New Roman"/>
          <w:iCs/>
          <w:sz w:val="20"/>
          <w:szCs w:val="20"/>
        </w:rPr>
      </w:pPr>
      <w:bookmarkStart w:id="24" w:name="OLE_LINK11"/>
      <w:bookmarkStart w:id="25" w:name="OLE_LINK10"/>
      <w:r>
        <w:rPr>
          <w:rFonts w:ascii="Times New Roman" w:hAnsi="Times New Roman"/>
          <w:sz w:val="20"/>
          <w:szCs w:val="20"/>
          <w:lang w:val="en-GB"/>
        </w:rPr>
        <w:t xml:space="preserve">In this contribution, we provide </w:t>
      </w:r>
      <w:r>
        <w:rPr>
          <w:rFonts w:ascii="Times New Roman" w:hAnsi="Times New Roman"/>
          <w:sz w:val="20"/>
          <w:szCs w:val="20"/>
        </w:rPr>
        <w:t>our views to enhance HST-SFN deployment scenario</w:t>
      </w:r>
      <w:r>
        <w:rPr>
          <w:rFonts w:ascii="Times New Roman" w:hAnsi="Times New Roman"/>
          <w:i/>
          <w:iCs/>
          <w:sz w:val="20"/>
          <w:szCs w:val="20"/>
        </w:rPr>
        <w:t xml:space="preserve">. </w:t>
      </w:r>
      <w:r>
        <w:rPr>
          <w:rFonts w:ascii="Times New Roman" w:hAnsi="Times New Roman"/>
          <w:iCs/>
          <w:sz w:val="20"/>
          <w:szCs w:val="20"/>
        </w:rPr>
        <w:t xml:space="preserve">The proposals are given below. </w:t>
      </w:r>
    </w:p>
    <w:p>
      <w:pPr>
        <w:snapToGrid w:val="0"/>
        <w:spacing w:before="180" w:beforeLines="50" w:after="180" w:afterLines="50" w:line="240" w:lineRule="auto"/>
        <w:jc w:val="both"/>
        <w:rPr>
          <w:rFonts w:ascii="Times New Roman" w:hAnsi="Times New Roman"/>
          <w:i/>
          <w:iCs/>
          <w:sz w:val="20"/>
          <w:szCs w:val="20"/>
        </w:rPr>
      </w:pPr>
      <w:r>
        <w:rPr>
          <w:rFonts w:ascii="Times New Roman" w:hAnsi="Times New Roman"/>
          <w:b/>
          <w:i/>
          <w:sz w:val="20"/>
          <w:szCs w:val="20"/>
        </w:rPr>
        <w:t>Proposal 1:</w:t>
      </w:r>
      <w:r>
        <w:rPr>
          <w:rFonts w:ascii="Times New Roman" w:hAnsi="Times New Roman"/>
          <w:i/>
          <w:sz w:val="20"/>
          <w:szCs w:val="20"/>
        </w:rPr>
        <w:t xml:space="preserve"> </w:t>
      </w:r>
      <w:r>
        <w:rPr>
          <w:rFonts w:hint="eastAsia" w:ascii="Times New Roman" w:hAnsi="Times New Roman"/>
          <w:i/>
          <w:sz w:val="20"/>
          <w:szCs w:val="20"/>
        </w:rPr>
        <w:t>For TRP based pre-compensation, confirm the working assumption of support of Variant A</w:t>
      </w:r>
      <w:r>
        <w:rPr>
          <w:rFonts w:ascii="Times New Roman" w:hAnsi="Times New Roman"/>
          <w:i/>
          <w:sz w:val="20"/>
          <w:szCs w:val="20"/>
        </w:rPr>
        <w:t>,</w:t>
      </w:r>
      <w:r>
        <w:rPr>
          <w:rFonts w:hint="eastAsia" w:ascii="Times New Roman" w:hAnsi="Times New Roman"/>
          <w:i/>
          <w:sz w:val="20"/>
          <w:szCs w:val="20"/>
        </w:rPr>
        <w:t xml:space="preserve"> and additionally </w:t>
      </w:r>
      <w:r>
        <w:rPr>
          <w:rFonts w:ascii="Times New Roman" w:hAnsi="Times New Roman"/>
          <w:i/>
          <w:sz w:val="20"/>
          <w:szCs w:val="20"/>
        </w:rPr>
        <w:t xml:space="preserve">support </w:t>
      </w:r>
      <w:r>
        <w:rPr>
          <w:rFonts w:hint="eastAsia" w:ascii="Times New Roman" w:hAnsi="Times New Roman"/>
          <w:i/>
          <w:sz w:val="20"/>
          <w:szCs w:val="20"/>
        </w:rPr>
        <w:t xml:space="preserve">of </w:t>
      </w:r>
      <w:r>
        <w:rPr>
          <w:rFonts w:ascii="Times New Roman" w:hAnsi="Times New Roman"/>
          <w:i/>
          <w:iCs/>
          <w:sz w:val="20"/>
          <w:szCs w:val="20"/>
        </w:rPr>
        <w:t xml:space="preserve">Variant </w:t>
      </w:r>
      <w:r>
        <w:rPr>
          <w:rFonts w:hint="eastAsia" w:ascii="Times New Roman" w:hAnsi="Times New Roman"/>
          <w:i/>
          <w:iCs/>
          <w:sz w:val="20"/>
          <w:szCs w:val="20"/>
        </w:rPr>
        <w:t>B</w:t>
      </w:r>
      <w:r>
        <w:rPr>
          <w:rFonts w:ascii="Times New Roman" w:hAnsi="Times New Roman"/>
          <w:i/>
          <w:iCs/>
          <w:sz w:val="20"/>
          <w:szCs w:val="20"/>
        </w:rPr>
        <w:t>, i.e. one of the TCI state is associated with {average delay, delay spread} and the other TCI state is associated with {Doppler shift, Doppler spread} (i.e., QCL-Type</w:t>
      </w:r>
      <w:r>
        <w:rPr>
          <w:rFonts w:hint="eastAsia" w:ascii="Times New Roman" w:hAnsi="Times New Roman"/>
          <w:i/>
          <w:iCs/>
          <w:sz w:val="20"/>
          <w:szCs w:val="20"/>
        </w:rPr>
        <w:t>B</w:t>
      </w:r>
      <w:r>
        <w:rPr>
          <w:rFonts w:ascii="Times New Roman" w:hAnsi="Times New Roman"/>
          <w:i/>
          <w:iCs/>
          <w:sz w:val="20"/>
          <w:szCs w:val="20"/>
        </w:rPr>
        <w:t>)</w:t>
      </w:r>
    </w:p>
    <w:p>
      <w:pPr>
        <w:snapToGrid w:val="0"/>
        <w:spacing w:before="0" w:beforeLines="-2147483648" w:after="0" w:afterLines="-2147483648" w:line="240" w:lineRule="auto"/>
        <w:jc w:val="both"/>
        <w:rPr>
          <w:rFonts w:ascii="Times New Roman" w:hAnsi="Times New Roman"/>
          <w:bCs/>
          <w:i/>
          <w:sz w:val="20"/>
          <w:szCs w:val="20"/>
        </w:rPr>
      </w:pPr>
      <w:r>
        <w:rPr>
          <w:rFonts w:ascii="Times New Roman" w:hAnsi="Times New Roman"/>
          <w:b/>
          <w:i/>
          <w:sz w:val="20"/>
          <w:szCs w:val="20"/>
        </w:rPr>
        <w:t xml:space="preserve">Proposal </w:t>
      </w:r>
      <w:r>
        <w:rPr>
          <w:rFonts w:hint="eastAsia" w:ascii="Times New Roman" w:hAnsi="Times New Roman"/>
          <w:b/>
          <w:i/>
          <w:sz w:val="20"/>
          <w:szCs w:val="20"/>
        </w:rPr>
        <w:t>2</w:t>
      </w:r>
      <w:r>
        <w:rPr>
          <w:rFonts w:ascii="Times New Roman" w:hAnsi="Times New Roman"/>
          <w:b/>
          <w:i/>
          <w:sz w:val="20"/>
          <w:szCs w:val="20"/>
        </w:rPr>
        <w:t>:</w:t>
      </w:r>
      <w:r>
        <w:rPr>
          <w:rFonts w:hint="eastAsia" w:ascii="Times New Roman" w:hAnsi="Times New Roman"/>
          <w:b/>
          <w:i/>
          <w:sz w:val="20"/>
          <w:szCs w:val="20"/>
        </w:rPr>
        <w:t xml:space="preserve"> </w:t>
      </w:r>
      <w:r>
        <w:rPr>
          <w:rFonts w:hint="eastAsia" w:ascii="Times New Roman" w:hAnsi="Times New Roman"/>
          <w:bCs/>
          <w:i/>
          <w:sz w:val="20"/>
          <w:szCs w:val="20"/>
        </w:rPr>
        <w:t>For TRP based pre-compensation, DMRS CDM group index can be used to indicate which TCI state contains the dropped</w:t>
      </w:r>
      <w:r>
        <w:rPr>
          <w:rFonts w:ascii="Times New Roman" w:hAnsi="Times New Roman"/>
          <w:bCs/>
          <w:i/>
          <w:sz w:val="20"/>
          <w:szCs w:val="20"/>
        </w:rPr>
        <w:t>/ignored</w:t>
      </w:r>
      <w:r>
        <w:rPr>
          <w:rFonts w:hint="eastAsia" w:ascii="Times New Roman" w:hAnsi="Times New Roman"/>
          <w:bCs/>
          <w:i/>
          <w:sz w:val="20"/>
          <w:szCs w:val="20"/>
        </w:rPr>
        <w:t xml:space="preserve"> QCL parameters.</w:t>
      </w:r>
    </w:p>
    <w:p>
      <w:pPr>
        <w:pStyle w:val="99"/>
        <w:numPr>
          <w:ilvl w:val="0"/>
          <w:numId w:val="8"/>
        </w:numPr>
        <w:snapToGrid w:val="0"/>
        <w:spacing w:before="0" w:beforeLines="-2147483648" w:after="0" w:afterLines="-2147483648" w:line="240" w:lineRule="auto"/>
        <w:ind w:left="840" w:hanging="420" w:firstLineChars="0"/>
        <w:jc w:val="both"/>
        <w:rPr>
          <w:rFonts w:ascii="Times New Roman" w:hAnsi="Times New Roman"/>
          <w:i/>
          <w:iCs/>
          <w:sz w:val="20"/>
          <w:szCs w:val="20"/>
        </w:rPr>
      </w:pPr>
      <w:r>
        <w:rPr>
          <w:rFonts w:ascii="Times New Roman" w:hAnsi="Times New Roman"/>
          <w:i/>
          <w:iCs/>
          <w:sz w:val="20"/>
          <w:szCs w:val="20"/>
        </w:rPr>
        <w:t>SFNed PDSCH DMRS ports are restricted within one CDM group</w:t>
      </w:r>
    </w:p>
    <w:p>
      <w:pPr>
        <w:keepNext w:val="0"/>
        <w:keepLines w:val="0"/>
        <w:pageBreakBefore w:val="0"/>
        <w:widowControl/>
        <w:kinsoku/>
        <w:wordWrap/>
        <w:overflowPunct/>
        <w:topLinePunct w:val="0"/>
        <w:autoSpaceDE/>
        <w:autoSpaceDN/>
        <w:bidi w:val="0"/>
        <w:adjustRightInd/>
        <w:snapToGrid w:val="0"/>
        <w:spacing w:before="181" w:beforeLines="50" w:after="0" w:afterAutospacing="0" w:line="240" w:lineRule="auto"/>
        <w:jc w:val="both"/>
        <w:textAlignment w:val="auto"/>
        <w:rPr>
          <w:rFonts w:ascii="Times New Roman" w:hAnsi="Times New Roman"/>
          <w:i/>
          <w:iCs/>
          <w:sz w:val="20"/>
          <w:szCs w:val="20"/>
        </w:rPr>
      </w:pPr>
      <w:r>
        <w:rPr>
          <w:rFonts w:hint="eastAsia" w:ascii="Times New Roman" w:hAnsi="Times New Roman"/>
          <w:b/>
          <w:bCs/>
          <w:i/>
          <w:iCs/>
          <w:sz w:val="20"/>
          <w:szCs w:val="20"/>
        </w:rPr>
        <w:t>Proposal 3:</w:t>
      </w:r>
      <w:r>
        <w:rPr>
          <w:rFonts w:ascii="Times New Roman" w:hAnsi="Times New Roman"/>
          <w:b/>
          <w:bCs/>
          <w:i/>
          <w:iCs/>
          <w:sz w:val="20"/>
          <w:szCs w:val="20"/>
        </w:rPr>
        <w:t xml:space="preserve"> </w:t>
      </w:r>
      <w:r>
        <w:rPr>
          <w:rFonts w:ascii="Times New Roman" w:hAnsi="Times New Roman"/>
          <w:bCs/>
          <w:i/>
          <w:iCs/>
          <w:sz w:val="20"/>
          <w:szCs w:val="20"/>
        </w:rPr>
        <w:t>For specification-based TRP Doppler pre-compensation</w:t>
      </w:r>
      <w:r>
        <w:rPr>
          <w:rFonts w:ascii="Times New Roman" w:hAnsi="Times New Roman"/>
          <w:i/>
          <w:iCs/>
          <w:sz w:val="20"/>
          <w:szCs w:val="20"/>
        </w:rPr>
        <w:t>, support at least UL RS Doppler estimation by gNB</w:t>
      </w:r>
    </w:p>
    <w:p>
      <w:pPr>
        <w:pStyle w:val="99"/>
        <w:numPr>
          <w:ilvl w:val="0"/>
          <w:numId w:val="8"/>
        </w:numPr>
        <w:snapToGrid w:val="0"/>
        <w:spacing w:before="0" w:beforeLines="-2147483648" w:after="0" w:afterLines="-2147483648" w:line="240" w:lineRule="auto"/>
        <w:ind w:left="840" w:hanging="420" w:firstLineChars="0"/>
        <w:jc w:val="both"/>
        <w:rPr>
          <w:rFonts w:ascii="Times New Roman" w:hAnsi="Times New Roman"/>
          <w:i/>
          <w:iCs/>
          <w:sz w:val="20"/>
          <w:szCs w:val="20"/>
        </w:rPr>
      </w:pPr>
      <w:r>
        <w:rPr>
          <w:rFonts w:ascii="Times New Roman" w:hAnsi="Times New Roman"/>
          <w:i/>
          <w:iCs/>
          <w:sz w:val="20"/>
          <w:szCs w:val="20"/>
        </w:rPr>
        <w:t>If DL based Doppler feedback by UE is supported, the existed CSI reporting mechanism should be re-used for the Doppler feedback.</w:t>
      </w:r>
    </w:p>
    <w:p>
      <w:pPr>
        <w:pStyle w:val="99"/>
        <w:numPr>
          <w:ilvl w:val="0"/>
          <w:numId w:val="10"/>
        </w:numPr>
        <w:snapToGrid w:val="0"/>
        <w:spacing w:before="0" w:beforeLines="-2147483648" w:after="0" w:afterLines="-2147483648" w:line="240" w:lineRule="auto"/>
        <w:ind w:left="1140" w:hanging="420" w:firstLineChars="0"/>
        <w:jc w:val="both"/>
        <w:rPr>
          <w:rFonts w:ascii="Times New Roman" w:hAnsi="Times New Roman"/>
          <w:i/>
          <w:iCs/>
          <w:sz w:val="20"/>
          <w:szCs w:val="20"/>
        </w:rPr>
      </w:pPr>
      <w:r>
        <w:rPr>
          <w:rFonts w:ascii="Times New Roman" w:hAnsi="Times New Roman"/>
          <w:i/>
          <w:sz w:val="20"/>
          <w:szCs w:val="20"/>
        </w:rPr>
        <w:t>One configured TRS resource set is used as a reference, and the relative Doppler shift/frequency offset among the other TRS resource sets and the reference TRS resource set should be reported.</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4: </w:t>
      </w:r>
      <w:r>
        <w:rPr>
          <w:rFonts w:hint="eastAsia" w:ascii="Times New Roman" w:hAnsi="Times New Roman"/>
          <w:bCs/>
          <w:i/>
          <w:iCs/>
          <w:sz w:val="20"/>
          <w:szCs w:val="20"/>
        </w:rPr>
        <w:t xml:space="preserve">For pre-compensation based on UL RS, </w:t>
      </w:r>
      <w:r>
        <w:rPr>
          <w:rFonts w:ascii="Times New Roman" w:hAnsi="Times New Roman"/>
          <w:bCs/>
          <w:i/>
          <w:iCs/>
          <w:sz w:val="20"/>
          <w:szCs w:val="20"/>
        </w:rPr>
        <w:t xml:space="preserve">do not support </w:t>
      </w:r>
      <w:r>
        <w:rPr>
          <w:rFonts w:hint="eastAsia" w:ascii="Times New Roman" w:hAnsi="Times New Roman"/>
          <w:bCs/>
          <w:i/>
          <w:iCs/>
          <w:sz w:val="20"/>
          <w:szCs w:val="20"/>
        </w:rPr>
        <w:t xml:space="preserve">the </w:t>
      </w:r>
      <w:r>
        <w:rPr>
          <w:rFonts w:ascii="Times New Roman" w:hAnsi="Times New Roman"/>
          <w:bCs/>
          <w:i/>
          <w:iCs/>
          <w:sz w:val="20"/>
          <w:szCs w:val="20"/>
        </w:rPr>
        <w:t xml:space="preserve">QCL-like association between the resource(s) received </w:t>
      </w:r>
      <w:r>
        <w:rPr>
          <w:rFonts w:hint="eastAsia" w:ascii="Times New Roman" w:hAnsi="Times New Roman"/>
          <w:bCs/>
          <w:i/>
          <w:iCs/>
          <w:sz w:val="20"/>
          <w:szCs w:val="20"/>
        </w:rPr>
        <w:t xml:space="preserve">by UE and the </w:t>
      </w:r>
      <w:r>
        <w:rPr>
          <w:rFonts w:ascii="Times New Roman" w:hAnsi="Times New Roman"/>
          <w:bCs/>
          <w:i/>
          <w:iCs/>
          <w:sz w:val="20"/>
          <w:szCs w:val="20"/>
        </w:rPr>
        <w:t xml:space="preserve">transmitted UL signal. </w:t>
      </w:r>
    </w:p>
    <w:p>
      <w:pPr>
        <w:snapToGrid w:val="0"/>
        <w:spacing w:before="0" w:beforeLines="-2147483648" w:after="0" w:afterLines="-2147483648"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5</w:t>
      </w:r>
      <w:r>
        <w:rPr>
          <w:rFonts w:ascii="Times New Roman" w:hAnsi="Times New Roman"/>
          <w:b/>
          <w:i/>
          <w:sz w:val="20"/>
          <w:szCs w:val="20"/>
        </w:rPr>
        <w:t>:</w:t>
      </w:r>
      <w:r>
        <w:rPr>
          <w:rFonts w:ascii="Times New Roman" w:hAnsi="Times New Roman"/>
          <w:i/>
          <w:sz w:val="20"/>
          <w:szCs w:val="20"/>
        </w:rPr>
        <w:t xml:space="preserve"> When </w:t>
      </w:r>
      <w:r>
        <w:rPr>
          <w:rFonts w:hint="eastAsia" w:ascii="Times New Roman" w:hAnsi="Times New Roman"/>
          <w:i/>
          <w:sz w:val="20"/>
          <w:szCs w:val="20"/>
        </w:rPr>
        <w:t xml:space="preserve">the slot offset between PDCCH and PDSCH is smaller than the threshold, </w:t>
      </w:r>
      <w:r>
        <w:rPr>
          <w:rFonts w:ascii="Times New Roman" w:hAnsi="Times New Roman"/>
          <w:i/>
          <w:sz w:val="20"/>
          <w:szCs w:val="20"/>
        </w:rPr>
        <w:t>if at least one TCI codepoint in MACCE contains two TCI states</w:t>
      </w:r>
      <w:r>
        <w:rPr>
          <w:rFonts w:hint="eastAsia" w:ascii="Times New Roman" w:hAnsi="Times New Roman"/>
          <w:sz w:val="20"/>
          <w:szCs w:val="20"/>
        </w:rPr>
        <w:t xml:space="preserve"> and </w:t>
      </w:r>
      <w:r>
        <w:rPr>
          <w:rFonts w:ascii="Times New Roman" w:hAnsi="Times New Roman"/>
          <w:i/>
          <w:sz w:val="20"/>
          <w:szCs w:val="20"/>
        </w:rPr>
        <w:t>enableTwoDefaultTCI</w:t>
      </w:r>
      <w:r>
        <w:rPr>
          <w:rFonts w:ascii="Times New Roman" w:hAnsi="Times New Roman"/>
          <w:i/>
          <w:sz w:val="20"/>
          <w:szCs w:val="20"/>
          <w:lang w:val="en-GB"/>
        </w:rPr>
        <w:t>-</w:t>
      </w:r>
      <w:r>
        <w:rPr>
          <w:rFonts w:ascii="Times New Roman" w:hAnsi="Times New Roman"/>
          <w:i/>
          <w:sz w:val="20"/>
          <w:szCs w:val="20"/>
        </w:rPr>
        <w:t>States</w:t>
      </w:r>
      <w:r>
        <w:rPr>
          <w:rFonts w:hint="eastAsia" w:ascii="Times New Roman" w:hAnsi="Times New Roman"/>
          <w:iCs/>
          <w:sz w:val="20"/>
          <w:szCs w:val="20"/>
        </w:rPr>
        <w:t xml:space="preserve"> is configured</w:t>
      </w:r>
    </w:p>
    <w:p>
      <w:pPr>
        <w:pStyle w:val="98"/>
        <w:numPr>
          <w:ilvl w:val="0"/>
          <w:numId w:val="14"/>
        </w:numPr>
        <w:tabs>
          <w:tab w:val="clear" w:pos="420"/>
        </w:tabs>
        <w:snapToGrid w:val="0"/>
        <w:spacing w:before="0" w:beforeLines="-2147483648" w:after="0" w:afterLines="-2147483648" w:line="240" w:lineRule="auto"/>
        <w:ind w:left="840" w:hanging="420"/>
        <w:jc w:val="both"/>
        <w:rPr>
          <w:rFonts w:ascii="Times" w:hAnsi="Times" w:cs="Times"/>
          <w:i/>
          <w:iCs/>
          <w:sz w:val="20"/>
          <w:szCs w:val="20"/>
        </w:rPr>
      </w:pPr>
      <w:r>
        <w:rPr>
          <w:rFonts w:ascii="Times" w:hAnsi="Times" w:cs="Times"/>
          <w:i/>
          <w:iCs/>
          <w:sz w:val="20"/>
          <w:szCs w:val="20"/>
        </w:rPr>
        <w:t xml:space="preserve">If SFN based MTRP transmission is used for PDSCH, </w:t>
      </w:r>
      <w:r>
        <w:rPr>
          <w:rFonts w:hint="eastAsia" w:ascii="Times" w:hAnsi="Times" w:eastAsia="宋体" w:cs="Times"/>
          <w:i/>
          <w:iCs/>
          <w:sz w:val="20"/>
          <w:szCs w:val="20"/>
        </w:rPr>
        <w:t xml:space="preserve">Alt-1 should be supported, i.e., </w:t>
      </w:r>
      <w:r>
        <w:rPr>
          <w:rFonts w:ascii="Times" w:hAnsi="Times" w:cs="Times"/>
          <w:i/>
          <w:iCs/>
          <w:sz w:val="20"/>
          <w:szCs w:val="20"/>
        </w:rPr>
        <w:t xml:space="preserve">each DMRS port of PDSCH should be associated with </w:t>
      </w:r>
      <w:r>
        <w:rPr>
          <w:rFonts w:hint="eastAsia" w:ascii="Times" w:hAnsi="Times" w:cs="Times"/>
          <w:i/>
          <w:iCs/>
          <w:sz w:val="20"/>
          <w:szCs w:val="20"/>
        </w:rPr>
        <w:t>the two TCI states in the lowest codepoint</w:t>
      </w:r>
      <w:r>
        <w:rPr>
          <w:rFonts w:ascii="Times" w:hAnsi="Times" w:cs="Times"/>
          <w:i/>
          <w:iCs/>
          <w:sz w:val="20"/>
          <w:szCs w:val="20"/>
        </w:rPr>
        <w:t xml:space="preserve"> among the TCI codepoints containing two different TCI states</w:t>
      </w:r>
      <w:r>
        <w:rPr>
          <w:rFonts w:hint="eastAsia" w:ascii="Times" w:hAnsi="Times" w:eastAsia="宋体" w:cs="Times"/>
          <w:i/>
          <w:iCs/>
          <w:sz w:val="20"/>
          <w:szCs w:val="20"/>
        </w:rPr>
        <w:t>.</w:t>
      </w:r>
    </w:p>
    <w:p>
      <w:pPr>
        <w:pStyle w:val="98"/>
        <w:numPr>
          <w:ilvl w:val="0"/>
          <w:numId w:val="14"/>
        </w:numPr>
        <w:tabs>
          <w:tab w:val="clear" w:pos="420"/>
        </w:tabs>
        <w:snapToGrid w:val="0"/>
        <w:spacing w:before="0" w:beforeLines="-2147483648" w:after="0" w:afterLines="-2147483648" w:line="240" w:lineRule="auto"/>
        <w:ind w:left="840" w:hanging="420"/>
        <w:jc w:val="both"/>
        <w:rPr>
          <w:rFonts w:ascii="Times" w:hAnsi="Times" w:cs="Times"/>
          <w:i/>
          <w:iCs/>
          <w:sz w:val="20"/>
          <w:szCs w:val="20"/>
        </w:rPr>
      </w:pPr>
      <w:r>
        <w:rPr>
          <w:rFonts w:ascii="Times" w:hAnsi="Times" w:eastAsia="宋体" w:cs="Times"/>
          <w:i/>
          <w:iCs/>
          <w:sz w:val="20"/>
          <w:szCs w:val="20"/>
        </w:rPr>
        <w:t>If</w:t>
      </w:r>
      <w:r>
        <w:rPr>
          <w:rFonts w:hint="eastAsia" w:ascii="Times" w:hAnsi="Times" w:eastAsia="宋体" w:cs="Times"/>
          <w:i/>
          <w:iCs/>
          <w:sz w:val="20"/>
          <w:szCs w:val="20"/>
        </w:rPr>
        <w:t xml:space="preserve"> </w:t>
      </w:r>
      <w:r>
        <w:rPr>
          <w:rFonts w:ascii="Times" w:hAnsi="Times" w:cs="Times"/>
          <w:i/>
          <w:iCs/>
          <w:sz w:val="20"/>
          <w:szCs w:val="20"/>
        </w:rPr>
        <w:t xml:space="preserve">single TRP transmission, is used, each DMRS port of PDSCH should be associated with the first one of </w:t>
      </w:r>
      <w:r>
        <w:rPr>
          <w:rFonts w:hint="eastAsia" w:ascii="Times" w:hAnsi="Times" w:cs="Times"/>
          <w:i/>
          <w:iCs/>
          <w:sz w:val="20"/>
          <w:szCs w:val="20"/>
        </w:rPr>
        <w:t>the two TCI states in the lowest codepoint</w:t>
      </w:r>
      <w:r>
        <w:rPr>
          <w:rFonts w:ascii="Times" w:hAnsi="Times" w:cs="Times"/>
          <w:i/>
          <w:iCs/>
          <w:sz w:val="20"/>
          <w:szCs w:val="20"/>
        </w:rPr>
        <w:t xml:space="preserve"> among the TCI codepoints containing two different TCI states.</w:t>
      </w:r>
    </w:p>
    <w:p>
      <w:pPr>
        <w:keepNext w:val="0"/>
        <w:keepLines w:val="0"/>
        <w:pageBreakBefore w:val="0"/>
        <w:widowControl/>
        <w:kinsoku/>
        <w:wordWrap/>
        <w:overflowPunct/>
        <w:topLinePunct w:val="0"/>
        <w:autoSpaceDE/>
        <w:autoSpaceDN/>
        <w:bidi w:val="0"/>
        <w:adjustRightInd/>
        <w:snapToGrid w:val="0"/>
        <w:spacing w:before="181" w:beforeLines="50" w:after="0" w:line="240" w:lineRule="auto"/>
        <w:jc w:val="both"/>
        <w:textAlignment w:val="auto"/>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6</w:t>
      </w:r>
      <w:r>
        <w:rPr>
          <w:rFonts w:ascii="Times New Roman" w:hAnsi="Times New Roman"/>
          <w:b/>
          <w:i/>
          <w:sz w:val="20"/>
          <w:szCs w:val="20"/>
        </w:rPr>
        <w:t>:</w:t>
      </w:r>
      <w:r>
        <w:rPr>
          <w:rFonts w:ascii="Times New Roman" w:hAnsi="Times New Roman"/>
          <w:i/>
          <w:sz w:val="20"/>
          <w:szCs w:val="20"/>
        </w:rPr>
        <w:t xml:space="preserve"> When </w:t>
      </w:r>
      <w:r>
        <w:rPr>
          <w:rFonts w:hint="eastAsia" w:ascii="Times New Roman" w:hAnsi="Times New Roman"/>
          <w:i/>
          <w:sz w:val="20"/>
          <w:szCs w:val="20"/>
        </w:rPr>
        <w:t>the slot offset between PDCCH and PDSCH is smaller than the threshold</w:t>
      </w:r>
      <w:r>
        <w:rPr>
          <w:rFonts w:ascii="Times New Roman" w:hAnsi="Times New Roman"/>
          <w:i/>
          <w:sz w:val="20"/>
          <w:szCs w:val="20"/>
        </w:rPr>
        <w:t>, if</w:t>
      </w:r>
      <w:r>
        <w:rPr>
          <w:rFonts w:hint="eastAsia" w:ascii="Times New Roman" w:hAnsi="Times New Roman"/>
          <w:i/>
          <w:sz w:val="20"/>
          <w:szCs w:val="20"/>
        </w:rPr>
        <w:t xml:space="preserve"> </w:t>
      </w:r>
      <w:r>
        <w:rPr>
          <w:rFonts w:ascii="Times New Roman" w:hAnsi="Times New Roman"/>
          <w:i/>
          <w:sz w:val="20"/>
          <w:szCs w:val="20"/>
        </w:rPr>
        <w:t>enableTwoDefaultTCI</w:t>
      </w:r>
      <w:r>
        <w:rPr>
          <w:rFonts w:ascii="Times New Roman" w:hAnsi="Times New Roman"/>
          <w:i/>
          <w:sz w:val="20"/>
          <w:szCs w:val="20"/>
          <w:lang w:val="en-GB"/>
        </w:rPr>
        <w:t>-</w:t>
      </w:r>
      <w:r>
        <w:rPr>
          <w:rFonts w:ascii="Times New Roman" w:hAnsi="Times New Roman"/>
          <w:i/>
          <w:sz w:val="20"/>
          <w:szCs w:val="20"/>
        </w:rPr>
        <w:t>States</w:t>
      </w:r>
      <w:r>
        <w:rPr>
          <w:rFonts w:hint="eastAsia" w:ascii="Times New Roman" w:hAnsi="Times New Roman"/>
          <w:i/>
          <w:sz w:val="20"/>
          <w:szCs w:val="20"/>
        </w:rPr>
        <w:t xml:space="preserve"> is not configured</w:t>
      </w:r>
    </w:p>
    <w:p>
      <w:pPr>
        <w:pStyle w:val="98"/>
        <w:numPr>
          <w:ilvl w:val="0"/>
          <w:numId w:val="14"/>
        </w:numPr>
        <w:tabs>
          <w:tab w:val="clear" w:pos="420"/>
        </w:tabs>
        <w:snapToGrid w:val="0"/>
        <w:spacing w:after="0" w:line="240" w:lineRule="auto"/>
        <w:jc w:val="both"/>
        <w:rPr>
          <w:rFonts w:ascii="Times" w:hAnsi="Times" w:cs="Times"/>
          <w:i/>
          <w:iCs/>
          <w:sz w:val="20"/>
          <w:szCs w:val="20"/>
        </w:rPr>
      </w:pPr>
      <w:r>
        <w:rPr>
          <w:rFonts w:hint="eastAsia" w:ascii="Times" w:hAnsi="Times" w:cs="Times"/>
          <w:i/>
          <w:iCs/>
          <w:sz w:val="20"/>
          <w:szCs w:val="20"/>
        </w:rPr>
        <w:t xml:space="preserve">If </w:t>
      </w:r>
      <w:r>
        <w:rPr>
          <w:rFonts w:ascii="Times New Roman" w:hAnsi="Times New Roman"/>
          <w:i/>
          <w:sz w:val="20"/>
          <w:szCs w:val="20"/>
        </w:rPr>
        <w:t>UE supports the capability with two default TCI states</w:t>
      </w:r>
      <w:r>
        <w:rPr>
          <w:rFonts w:hint="eastAsia" w:ascii="Times" w:hAnsi="Times" w:cs="Times"/>
          <w:i/>
          <w:iCs/>
          <w:sz w:val="20"/>
          <w:szCs w:val="20"/>
        </w:rPr>
        <w:t>, each DMRS port of PDSCH should be associated with the TCI state(s) of the CORESET with lowest index in the latest slot</w:t>
      </w:r>
    </w:p>
    <w:p>
      <w:pPr>
        <w:pStyle w:val="98"/>
        <w:numPr>
          <w:ilvl w:val="0"/>
          <w:numId w:val="14"/>
        </w:numPr>
        <w:tabs>
          <w:tab w:val="clear" w:pos="420"/>
        </w:tabs>
        <w:snapToGrid w:val="0"/>
        <w:spacing w:after="0" w:line="240" w:lineRule="auto"/>
        <w:jc w:val="both"/>
        <w:rPr>
          <w:rFonts w:ascii="Times" w:hAnsi="Times" w:cs="Times"/>
          <w:i/>
          <w:iCs/>
          <w:sz w:val="20"/>
          <w:szCs w:val="20"/>
        </w:rPr>
      </w:pPr>
      <w:r>
        <w:rPr>
          <w:rFonts w:hint="eastAsia" w:ascii="Times" w:hAnsi="Times" w:cs="Times"/>
          <w:i/>
          <w:iCs/>
          <w:sz w:val="20"/>
          <w:szCs w:val="20"/>
        </w:rPr>
        <w:t xml:space="preserve">If </w:t>
      </w:r>
      <w:r>
        <w:rPr>
          <w:rFonts w:ascii="Times New Roman" w:hAnsi="Times New Roman"/>
          <w:i/>
          <w:sz w:val="20"/>
          <w:szCs w:val="20"/>
        </w:rPr>
        <w:t>UE</w:t>
      </w:r>
      <w:r>
        <w:rPr>
          <w:rFonts w:hint="eastAsia" w:ascii="Times New Roman" w:hAnsi="Times New Roman"/>
          <w:i/>
          <w:sz w:val="20"/>
          <w:szCs w:val="20"/>
        </w:rPr>
        <w:t xml:space="preserve"> </w:t>
      </w:r>
      <w:r>
        <w:rPr>
          <w:rFonts w:ascii="Times New Roman" w:hAnsi="Times New Roman"/>
          <w:i/>
          <w:sz w:val="20"/>
          <w:szCs w:val="20"/>
        </w:rPr>
        <w:t xml:space="preserve">does not </w:t>
      </w:r>
      <w:r>
        <w:rPr>
          <w:rFonts w:hint="eastAsia" w:ascii="Times New Roman" w:hAnsi="Times New Roman"/>
          <w:i/>
          <w:sz w:val="20"/>
          <w:szCs w:val="20"/>
        </w:rPr>
        <w:t xml:space="preserve">support </w:t>
      </w:r>
      <w:r>
        <w:rPr>
          <w:rFonts w:ascii="Times New Roman" w:hAnsi="Times New Roman"/>
          <w:i/>
          <w:sz w:val="20"/>
          <w:szCs w:val="20"/>
        </w:rPr>
        <w:t xml:space="preserve">the capability with </w:t>
      </w:r>
      <w:r>
        <w:rPr>
          <w:rFonts w:hint="eastAsia" w:ascii="Times New Roman" w:hAnsi="Times New Roman"/>
          <w:i/>
          <w:sz w:val="20"/>
          <w:szCs w:val="20"/>
        </w:rPr>
        <w:t>two default TCI states</w:t>
      </w:r>
      <w:r>
        <w:rPr>
          <w:rFonts w:hint="eastAsia" w:ascii="Times" w:hAnsi="Times" w:cs="Times"/>
          <w:i/>
          <w:iCs/>
          <w:sz w:val="20"/>
          <w:szCs w:val="20"/>
        </w:rPr>
        <w:t xml:space="preserve">, </w:t>
      </w:r>
      <w:r>
        <w:rPr>
          <w:rFonts w:ascii="Times" w:hAnsi="Times" w:cs="Times"/>
          <w:i/>
          <w:iCs/>
          <w:sz w:val="20"/>
          <w:szCs w:val="20"/>
        </w:rPr>
        <w:t xml:space="preserve">each DMRS port of PDSCH should be associated with </w:t>
      </w:r>
      <w:r>
        <w:rPr>
          <w:rFonts w:hint="eastAsia" w:ascii="Times" w:hAnsi="Times" w:cs="Times"/>
          <w:i/>
          <w:iCs/>
          <w:sz w:val="20"/>
          <w:szCs w:val="20"/>
        </w:rPr>
        <w:t>the first TCI state of th</w:t>
      </w:r>
      <w:r>
        <w:rPr>
          <w:rFonts w:hint="eastAsia" w:ascii="Times" w:hAnsi="Times" w:eastAsia="宋体" w:cs="Times"/>
          <w:i/>
          <w:iCs/>
          <w:sz w:val="20"/>
          <w:szCs w:val="20"/>
        </w:rPr>
        <w:t>is</w:t>
      </w:r>
      <w:r>
        <w:rPr>
          <w:rFonts w:hint="eastAsia" w:ascii="Times" w:hAnsi="Times" w:cs="Times"/>
          <w:i/>
          <w:iCs/>
          <w:sz w:val="20"/>
          <w:szCs w:val="20"/>
        </w:rPr>
        <w:t xml:space="preserve"> CORESET</w:t>
      </w:r>
      <w:r>
        <w:rPr>
          <w:rFonts w:ascii="Times" w:hAnsi="Times" w:cs="Times"/>
          <w:i/>
          <w:iCs/>
          <w:sz w:val="20"/>
          <w:szCs w:val="20"/>
        </w:rPr>
        <w:t>.</w:t>
      </w:r>
    </w:p>
    <w:p>
      <w:pPr>
        <w:snapToGrid w:val="0"/>
        <w:spacing w:before="200" w:line="240" w:lineRule="auto"/>
        <w:jc w:val="both"/>
        <w:rPr>
          <w:rFonts w:ascii="Times New Roman" w:hAnsi="Times New Roman"/>
          <w:sz w:val="20"/>
          <w:szCs w:val="20"/>
        </w:rPr>
      </w:pPr>
      <w:r>
        <w:rPr>
          <w:rFonts w:hint="eastAsia" w:ascii="Times New Roman" w:hAnsi="Times New Roman"/>
          <w:b/>
          <w:bCs/>
          <w:i/>
          <w:iCs/>
          <w:sz w:val="20"/>
          <w:szCs w:val="20"/>
        </w:rPr>
        <w:t xml:space="preserve">Proposal 7: </w:t>
      </w:r>
      <w:r>
        <w:rPr>
          <w:rFonts w:ascii="Times New Roman" w:hAnsi="Times New Roman"/>
          <w:i/>
          <w:iCs/>
          <w:sz w:val="20"/>
          <w:szCs w:val="20"/>
        </w:rPr>
        <w:t xml:space="preserve">If PDSCH is scheduled by a SFN mannered PDCCH without TCI field present, </w:t>
      </w:r>
      <w:r>
        <w:rPr>
          <w:rFonts w:ascii="Times New Roman" w:hAnsi="Times New Roman"/>
          <w:i/>
          <w:color w:val="000000"/>
          <w:sz w:val="20"/>
          <w:szCs w:val="20"/>
        </w:rPr>
        <w:t>the UE assumes that the TCI state of the PDSCH is identical to the first one of two activated TCI states of the PDCCH.</w:t>
      </w:r>
    </w:p>
    <w:p>
      <w:pPr>
        <w:snapToGrid w:val="0"/>
        <w:spacing w:before="0" w:beforeLines="-2147483648" w:after="0" w:afterLines="-2147483648" w:line="240" w:lineRule="auto"/>
        <w:jc w:val="both"/>
        <w:rPr>
          <w:rFonts w:ascii="Times New Roman" w:hAnsi="Times New Roman"/>
          <w:i/>
          <w:iCs/>
          <w:sz w:val="20"/>
          <w:szCs w:val="20"/>
        </w:rPr>
      </w:pPr>
      <w:r>
        <w:rPr>
          <w:rFonts w:hint="eastAsia" w:ascii="Times New Roman" w:hAnsi="Times New Roman"/>
          <w:b/>
          <w:bCs/>
          <w:i/>
          <w:iCs/>
          <w:sz w:val="20"/>
          <w:szCs w:val="20"/>
        </w:rPr>
        <w:t>Proposal 8:</w:t>
      </w:r>
      <w:r>
        <w:rPr>
          <w:rFonts w:ascii="Times New Roman" w:hAnsi="Times New Roman"/>
          <w:b/>
          <w:bCs/>
          <w:i/>
          <w:iCs/>
          <w:sz w:val="20"/>
          <w:szCs w:val="20"/>
        </w:rPr>
        <w:t xml:space="preserve"> </w:t>
      </w:r>
      <w:r>
        <w:rPr>
          <w:rFonts w:ascii="Times New Roman" w:hAnsi="Times New Roman"/>
          <w:i/>
          <w:sz w:val="20"/>
          <w:szCs w:val="20"/>
        </w:rPr>
        <w:t>When the slot offset between PDCCH and aperiodic CSI-RS is smaller than the threshold,</w:t>
      </w:r>
      <w:r>
        <w:rPr>
          <w:rFonts w:ascii="Times New Roman" w:hAnsi="Times New Roman"/>
          <w:iCs/>
          <w:sz w:val="20"/>
          <w:szCs w:val="20"/>
        </w:rPr>
        <w:t xml:space="preserve"> </w:t>
      </w:r>
      <w:r>
        <w:rPr>
          <w:rFonts w:ascii="Times New Roman" w:hAnsi="Times New Roman"/>
          <w:i/>
          <w:sz w:val="20"/>
          <w:szCs w:val="20"/>
        </w:rPr>
        <w:t xml:space="preserve">and </w:t>
      </w:r>
    </w:p>
    <w:p>
      <w:pPr>
        <w:pStyle w:val="99"/>
        <w:numPr>
          <w:ilvl w:val="1"/>
          <w:numId w:val="16"/>
        </w:numPr>
        <w:snapToGrid w:val="0"/>
        <w:spacing w:before="0" w:beforeLines="-2147483648" w:after="0" w:afterLines="-2147483648" w:line="240" w:lineRule="auto"/>
        <w:ind w:left="840" w:hanging="420" w:firstLineChars="0"/>
        <w:jc w:val="both"/>
        <w:rPr>
          <w:rFonts w:ascii="Times New Roman" w:hAnsi="Times New Roman"/>
          <w:iCs/>
          <w:sz w:val="20"/>
          <w:szCs w:val="20"/>
        </w:rPr>
      </w:pPr>
      <w:r>
        <w:rPr>
          <w:rFonts w:ascii="Times New Roman" w:hAnsi="Times New Roman"/>
          <w:i/>
          <w:sz w:val="20"/>
          <w:szCs w:val="20"/>
        </w:rPr>
        <w:t xml:space="preserve">If UE is not able to support Rel-16 default beam feature, </w:t>
      </w:r>
    </w:p>
    <w:p>
      <w:pPr>
        <w:pStyle w:val="99"/>
        <w:numPr>
          <w:ilvl w:val="0"/>
          <w:numId w:val="10"/>
        </w:numPr>
        <w:snapToGrid w:val="0"/>
        <w:spacing w:before="0" w:beforeLines="-2147483648" w:after="0" w:afterLines="-2147483648" w:line="240" w:lineRule="auto"/>
        <w:ind w:left="1140" w:hanging="420" w:firstLineChars="0"/>
        <w:jc w:val="both"/>
        <w:rPr>
          <w:rFonts w:ascii="Times New Roman" w:hAnsi="Times New Roman"/>
          <w:i/>
          <w:iCs/>
          <w:sz w:val="20"/>
          <w:szCs w:val="20"/>
        </w:rPr>
      </w:pPr>
      <w:r>
        <w:rPr>
          <w:rFonts w:hint="eastAsia" w:ascii="Times New Roman" w:hAnsi="Times New Roman"/>
          <w:i/>
          <w:sz w:val="20"/>
          <w:szCs w:val="20"/>
        </w:rPr>
        <w:t xml:space="preserve">If there is no other </w:t>
      </w:r>
      <w:r>
        <w:rPr>
          <w:rFonts w:ascii="Times New Roman" w:hAnsi="Times New Roman"/>
          <w:i/>
          <w:sz w:val="20"/>
          <w:szCs w:val="20"/>
        </w:rPr>
        <w:t>signal</w:t>
      </w:r>
      <w:r>
        <w:rPr>
          <w:rFonts w:hint="eastAsia" w:ascii="Times New Roman" w:hAnsi="Times New Roman"/>
          <w:i/>
          <w:sz w:val="20"/>
          <w:szCs w:val="20"/>
        </w:rPr>
        <w:t xml:space="preserve"> on the symbol with aperiodic CSI-RS,</w:t>
      </w:r>
      <w:r>
        <w:rPr>
          <w:rFonts w:ascii="Times New Roman" w:hAnsi="Times New Roman"/>
          <w:i/>
          <w:sz w:val="20"/>
          <w:szCs w:val="20"/>
        </w:rPr>
        <w:t xml:space="preserve"> </w:t>
      </w:r>
      <w:r>
        <w:rPr>
          <w:rFonts w:hint="eastAsia" w:ascii="Times New Roman" w:hAnsi="Times New Roman"/>
          <w:i/>
          <w:sz w:val="20"/>
          <w:szCs w:val="20"/>
        </w:rPr>
        <w:t xml:space="preserve">the first one of the </w:t>
      </w:r>
      <w:r>
        <w:rPr>
          <w:rFonts w:ascii="Times New Roman" w:hAnsi="Times New Roman"/>
          <w:i/>
          <w:sz w:val="20"/>
          <w:szCs w:val="20"/>
        </w:rPr>
        <w:t xml:space="preserve">two </w:t>
      </w:r>
      <w:r>
        <w:rPr>
          <w:rFonts w:hint="eastAsia" w:ascii="Times New Roman" w:hAnsi="Times New Roman"/>
          <w:i/>
          <w:sz w:val="20"/>
          <w:szCs w:val="20"/>
        </w:rPr>
        <w:t>TCI states of the CORESET</w:t>
      </w:r>
      <w:r>
        <w:rPr>
          <w:rFonts w:ascii="Times New Roman" w:hAnsi="Times New Roman"/>
          <w:i/>
          <w:sz w:val="20"/>
          <w:szCs w:val="20"/>
        </w:rPr>
        <w:t xml:space="preserve"> with lowest index</w:t>
      </w:r>
      <w:r>
        <w:rPr>
          <w:rFonts w:hint="eastAsia" w:ascii="Times New Roman" w:hAnsi="Times New Roman"/>
          <w:i/>
          <w:sz w:val="20"/>
          <w:szCs w:val="20"/>
        </w:rPr>
        <w:t xml:space="preserve"> should be used as the default TCI state of the aperiodic CSI-RS</w:t>
      </w:r>
      <w:r>
        <w:rPr>
          <w:rFonts w:ascii="Times New Roman" w:hAnsi="Times New Roman"/>
          <w:i/>
          <w:sz w:val="20"/>
          <w:szCs w:val="20"/>
        </w:rPr>
        <w:t>.</w:t>
      </w:r>
    </w:p>
    <w:p>
      <w:pPr>
        <w:pStyle w:val="99"/>
        <w:numPr>
          <w:ilvl w:val="0"/>
          <w:numId w:val="10"/>
        </w:numPr>
        <w:snapToGrid w:val="0"/>
        <w:spacing w:before="0" w:beforeLines="-2147483648" w:after="0" w:afterLines="-2147483648" w:line="240" w:lineRule="auto"/>
        <w:ind w:left="1140" w:hanging="420" w:firstLineChars="0"/>
        <w:jc w:val="both"/>
        <w:rPr>
          <w:rFonts w:ascii="Times New Roman" w:hAnsi="Times New Roman"/>
          <w:i/>
          <w:iCs/>
          <w:sz w:val="20"/>
          <w:szCs w:val="20"/>
        </w:rPr>
      </w:pPr>
      <w:r>
        <w:rPr>
          <w:rFonts w:hint="eastAsia" w:ascii="Times New Roman" w:hAnsi="Times New Roman"/>
          <w:i/>
          <w:sz w:val="20"/>
          <w:szCs w:val="20"/>
        </w:rPr>
        <w:t>If</w:t>
      </w:r>
      <w:r>
        <w:rPr>
          <w:rFonts w:ascii="Times New Roman" w:hAnsi="Times New Roman"/>
          <w:i/>
          <w:sz w:val="20"/>
          <w:szCs w:val="20"/>
        </w:rPr>
        <w:t xml:space="preserve"> there is other signal on the same symbol with the </w:t>
      </w:r>
      <w:r>
        <w:rPr>
          <w:rFonts w:hint="eastAsia" w:ascii="Times New Roman" w:hAnsi="Times New Roman"/>
          <w:i/>
          <w:sz w:val="20"/>
          <w:szCs w:val="20"/>
        </w:rPr>
        <w:t xml:space="preserve">AP </w:t>
      </w:r>
      <w:r>
        <w:rPr>
          <w:rFonts w:ascii="Times New Roman" w:hAnsi="Times New Roman"/>
          <w:i/>
          <w:sz w:val="20"/>
          <w:szCs w:val="20"/>
        </w:rPr>
        <w:t xml:space="preserve">CSI-RS, </w:t>
      </w:r>
      <w:r>
        <w:rPr>
          <w:rFonts w:hint="eastAsia" w:ascii="Times New Roman" w:hAnsi="Times New Roman"/>
          <w:i/>
          <w:sz w:val="20"/>
          <w:szCs w:val="20"/>
        </w:rPr>
        <w:t xml:space="preserve">the default TCI </w:t>
      </w:r>
      <w:r>
        <w:rPr>
          <w:rFonts w:ascii="Times New Roman" w:hAnsi="Times New Roman"/>
          <w:i/>
          <w:sz w:val="20"/>
          <w:szCs w:val="20"/>
        </w:rPr>
        <w:t>of the AP CSI-RS follows the first TCI state of the other signal.</w:t>
      </w:r>
    </w:p>
    <w:p>
      <w:pPr>
        <w:pStyle w:val="99"/>
        <w:numPr>
          <w:ilvl w:val="1"/>
          <w:numId w:val="16"/>
        </w:numPr>
        <w:snapToGrid w:val="0"/>
        <w:spacing w:before="0" w:beforeLines="-2147483648" w:after="0" w:afterLines="-2147483648" w:line="240" w:lineRule="auto"/>
        <w:ind w:left="840" w:hanging="420" w:firstLineChars="0"/>
        <w:jc w:val="both"/>
        <w:rPr>
          <w:rFonts w:ascii="Times New Roman" w:hAnsi="Times New Roman"/>
          <w:i/>
          <w:sz w:val="20"/>
          <w:szCs w:val="20"/>
        </w:rPr>
      </w:pPr>
      <w:r>
        <w:rPr>
          <w:rFonts w:hint="eastAsia" w:ascii="Times New Roman" w:hAnsi="Times New Roman"/>
          <w:i/>
          <w:sz w:val="20"/>
          <w:szCs w:val="20"/>
        </w:rPr>
        <w:t>I</w:t>
      </w:r>
      <w:r>
        <w:rPr>
          <w:rFonts w:ascii="Times New Roman" w:hAnsi="Times New Roman"/>
          <w:i/>
          <w:sz w:val="20"/>
          <w:szCs w:val="20"/>
        </w:rPr>
        <w:t>f UE is able to support Rel-16 default beam feature, reuse Rel-16 default beam rules.</w:t>
      </w:r>
    </w:p>
    <w:p>
      <w:pPr>
        <w:keepNext w:val="0"/>
        <w:keepLines w:val="0"/>
        <w:pageBreakBefore w:val="0"/>
        <w:widowControl/>
        <w:kinsoku/>
        <w:wordWrap/>
        <w:overflowPunct/>
        <w:topLinePunct w:val="0"/>
        <w:autoSpaceDE/>
        <w:autoSpaceDN/>
        <w:bidi w:val="0"/>
        <w:adjustRightInd/>
        <w:snapToGrid w:val="0"/>
        <w:spacing w:before="181" w:beforeLines="50" w:after="0" w:line="240" w:lineRule="auto"/>
        <w:jc w:val="both"/>
        <w:textAlignment w:val="auto"/>
        <w:rPr>
          <w:rFonts w:ascii="Times New Roman" w:hAnsi="Times New Roman"/>
          <w:i/>
          <w:iCs/>
          <w:sz w:val="20"/>
          <w:szCs w:val="20"/>
        </w:rPr>
      </w:pPr>
      <w:r>
        <w:rPr>
          <w:rFonts w:hint="eastAsia" w:ascii="Times New Roman" w:hAnsi="Times New Roman"/>
          <w:b/>
          <w:bCs/>
          <w:i/>
          <w:iCs/>
          <w:sz w:val="20"/>
          <w:szCs w:val="20"/>
        </w:rPr>
        <w:t>Proposal 9:</w:t>
      </w:r>
      <w:r>
        <w:rPr>
          <w:rFonts w:ascii="Times New Roman" w:hAnsi="Times New Roman"/>
          <w:b/>
          <w:bCs/>
          <w:i/>
          <w:iCs/>
          <w:sz w:val="20"/>
          <w:szCs w:val="20"/>
        </w:rPr>
        <w:t xml:space="preserve"> </w:t>
      </w:r>
      <w:r>
        <w:rPr>
          <w:rFonts w:ascii="Times New Roman" w:hAnsi="Times New Roman"/>
          <w:i/>
          <w:iCs/>
          <w:sz w:val="20"/>
          <w:szCs w:val="20"/>
        </w:rPr>
        <w:t xml:space="preserve">When PL-RS and spatial relation information are not configured and default beam is enabled for the PUCCH transmission, </w:t>
      </w:r>
      <w:r>
        <w:rPr>
          <w:rFonts w:hint="eastAsia" w:ascii="Times New Roman" w:hAnsi="Times New Roman"/>
          <w:i/>
          <w:iCs/>
          <w:sz w:val="20"/>
          <w:szCs w:val="20"/>
        </w:rPr>
        <w:t>if two TCI states are activated for the CORESET with the lowest ID on the active DL BWP</w:t>
      </w:r>
      <w:r>
        <w:rPr>
          <w:rFonts w:ascii="Times New Roman" w:hAnsi="Times New Roman"/>
          <w:i/>
          <w:iCs/>
          <w:sz w:val="20"/>
          <w:szCs w:val="20"/>
        </w:rPr>
        <w:t xml:space="preserve">, </w:t>
      </w:r>
    </w:p>
    <w:p>
      <w:pPr>
        <w:numPr>
          <w:ilvl w:val="0"/>
          <w:numId w:val="17"/>
        </w:numPr>
        <w:snapToGrid w:val="0"/>
        <w:spacing w:before="0" w:beforeLines="-2147483648" w:after="0" w:afterLines="-2147483648" w:line="240" w:lineRule="auto"/>
        <w:ind w:left="840" w:hanging="420"/>
        <w:jc w:val="both"/>
        <w:rPr>
          <w:rFonts w:ascii="Times New Roman" w:hAnsi="Times New Roman"/>
          <w:i/>
          <w:iCs/>
          <w:sz w:val="20"/>
          <w:szCs w:val="20"/>
        </w:rPr>
      </w:pPr>
      <w:r>
        <w:rPr>
          <w:rFonts w:hint="eastAsia" w:ascii="Times New Roman" w:hAnsi="Times New Roman"/>
          <w:i/>
          <w:iCs/>
          <w:sz w:val="20"/>
          <w:szCs w:val="20"/>
        </w:rPr>
        <w:t>If PUCCH repetition is not configured, the first one of the two TCI states activated for the CORESET with the lowest ID on the active DL BWP is used</w:t>
      </w:r>
      <w:r>
        <w:rPr>
          <w:rFonts w:ascii="Times New Roman" w:hAnsi="Times New Roman"/>
          <w:i/>
          <w:iCs/>
          <w:sz w:val="20"/>
          <w:szCs w:val="20"/>
        </w:rPr>
        <w:t xml:space="preserve"> to determine the spatial relation of PUCCH transmission</w:t>
      </w:r>
      <w:r>
        <w:rPr>
          <w:rFonts w:hint="eastAsia" w:ascii="Times New Roman" w:hAnsi="Times New Roman"/>
          <w:i/>
          <w:iCs/>
          <w:sz w:val="20"/>
          <w:szCs w:val="20"/>
        </w:rPr>
        <w:t>.</w:t>
      </w:r>
    </w:p>
    <w:p>
      <w:pPr>
        <w:numPr>
          <w:ilvl w:val="0"/>
          <w:numId w:val="17"/>
        </w:numPr>
        <w:snapToGrid w:val="0"/>
        <w:spacing w:before="0" w:beforeLines="-2147483648" w:after="0" w:afterLines="-2147483648" w:line="240" w:lineRule="auto"/>
        <w:ind w:left="840" w:hanging="420"/>
        <w:jc w:val="both"/>
        <w:rPr>
          <w:rFonts w:hint="eastAsia" w:ascii="Times New Roman" w:hAnsi="Times New Roman"/>
          <w:i/>
          <w:iCs/>
          <w:sz w:val="20"/>
          <w:szCs w:val="20"/>
        </w:rPr>
      </w:pPr>
      <w:r>
        <w:rPr>
          <w:rFonts w:hint="eastAsia" w:ascii="Times New Roman" w:hAnsi="Times New Roman"/>
          <w:i/>
          <w:iCs/>
          <w:sz w:val="20"/>
          <w:szCs w:val="20"/>
        </w:rPr>
        <w:t>If PUCCH repetition is configured, the two TCI states activated for the CORESET with the lowest ID on the active DL BWP are used to determine the spatial relation of PUCCH transmission occasions, and each TCI state is associated to one PUCCH transmission occasion group.</w:t>
      </w:r>
    </w:p>
    <w:p>
      <w:pPr>
        <w:keepNext w:val="0"/>
        <w:keepLines w:val="0"/>
        <w:pageBreakBefore w:val="0"/>
        <w:widowControl/>
        <w:kinsoku/>
        <w:wordWrap/>
        <w:overflowPunct/>
        <w:topLinePunct w:val="0"/>
        <w:autoSpaceDE/>
        <w:autoSpaceDN/>
        <w:bidi w:val="0"/>
        <w:adjustRightInd/>
        <w:snapToGrid w:val="0"/>
        <w:spacing w:before="181" w:beforeLines="50" w:after="0" w:line="240" w:lineRule="auto"/>
        <w:jc w:val="both"/>
        <w:textAlignment w:val="auto"/>
        <w:rPr>
          <w:rFonts w:ascii="Times New Roman" w:hAnsi="Times New Roman"/>
          <w:i/>
          <w:iCs/>
          <w:sz w:val="20"/>
          <w:szCs w:val="20"/>
        </w:rPr>
      </w:pPr>
      <w:r>
        <w:rPr>
          <w:rFonts w:hint="eastAsia" w:ascii="Times New Roman" w:hAnsi="Times New Roman"/>
          <w:b/>
          <w:bCs/>
          <w:i/>
          <w:iCs/>
          <w:sz w:val="20"/>
          <w:szCs w:val="20"/>
        </w:rPr>
        <w:t>Proposal 10:</w:t>
      </w:r>
      <w:r>
        <w:rPr>
          <w:rFonts w:ascii="Times New Roman" w:hAnsi="Times New Roman"/>
          <w:b/>
          <w:bCs/>
          <w:i/>
          <w:iCs/>
          <w:sz w:val="20"/>
          <w:szCs w:val="20"/>
        </w:rPr>
        <w:t xml:space="preserve"> </w:t>
      </w:r>
      <w:r>
        <w:rPr>
          <w:rFonts w:ascii="Times New Roman" w:hAnsi="Times New Roman"/>
          <w:bCs/>
          <w:i/>
          <w:iCs/>
          <w:sz w:val="20"/>
          <w:szCs w:val="20"/>
        </w:rPr>
        <w:t xml:space="preserve">When the default spatial relation of PUSCH is determined by QCL assumption of CORESET with lowest ID, and </w:t>
      </w:r>
      <w:r>
        <w:rPr>
          <w:rFonts w:hint="eastAsia" w:ascii="Times New Roman" w:hAnsi="Times New Roman"/>
          <w:i/>
          <w:iCs/>
          <w:sz w:val="20"/>
          <w:szCs w:val="20"/>
        </w:rPr>
        <w:t>two TCI states are activated for the CORESET</w:t>
      </w:r>
      <w:r>
        <w:rPr>
          <w:rFonts w:ascii="Times New Roman" w:hAnsi="Times New Roman"/>
          <w:i/>
          <w:iCs/>
          <w:sz w:val="20"/>
          <w:szCs w:val="20"/>
        </w:rPr>
        <w:t>,</w:t>
      </w:r>
    </w:p>
    <w:p>
      <w:pPr>
        <w:numPr>
          <w:ilvl w:val="0"/>
          <w:numId w:val="17"/>
        </w:numPr>
        <w:snapToGrid w:val="0"/>
        <w:spacing w:before="0" w:beforeLines="-2147483648" w:after="0" w:afterLines="-2147483648" w:line="240" w:lineRule="auto"/>
        <w:ind w:left="840" w:hanging="420"/>
        <w:jc w:val="both"/>
        <w:rPr>
          <w:rFonts w:ascii="Times New Roman" w:hAnsi="Times New Roman"/>
          <w:i/>
          <w:iCs/>
          <w:sz w:val="20"/>
          <w:szCs w:val="20"/>
        </w:rPr>
      </w:pPr>
      <w:r>
        <w:rPr>
          <w:rFonts w:hint="eastAsia" w:ascii="Times New Roman" w:hAnsi="Times New Roman"/>
          <w:i/>
          <w:iCs/>
          <w:sz w:val="20"/>
          <w:szCs w:val="20"/>
        </w:rPr>
        <w:t>If PUSCH repetition is not configured, the first one of the two TCI states activated for the CORESET with the lowest ID is used as the default spatial relation.</w:t>
      </w:r>
    </w:p>
    <w:p>
      <w:pPr>
        <w:numPr>
          <w:ilvl w:val="0"/>
          <w:numId w:val="17"/>
        </w:numPr>
        <w:snapToGrid w:val="0"/>
        <w:spacing w:before="0" w:beforeLines="-2147483648" w:after="0" w:afterLines="-2147483648" w:line="240" w:lineRule="auto"/>
        <w:ind w:left="840" w:hanging="420"/>
        <w:jc w:val="both"/>
        <w:rPr>
          <w:rFonts w:ascii="Times New Roman" w:hAnsi="Times New Roman"/>
          <w:sz w:val="20"/>
          <w:szCs w:val="20"/>
        </w:rPr>
      </w:pPr>
      <w:r>
        <w:rPr>
          <w:rFonts w:hint="eastAsia" w:ascii="Times New Roman" w:hAnsi="Times New Roman"/>
          <w:i/>
          <w:iCs/>
          <w:sz w:val="20"/>
          <w:szCs w:val="20"/>
        </w:rPr>
        <w:t>If PUSCH repetition is configured, the two TCI states activated for the CORESET with the lowest ID are used as the default spatial relation, and each TCI state is associated to one PUSCH transmission occasion group.</w:t>
      </w:r>
    </w:p>
    <w:p>
      <w:pPr>
        <w:keepNext w:val="0"/>
        <w:keepLines w:val="0"/>
        <w:pageBreakBefore w:val="0"/>
        <w:widowControl/>
        <w:kinsoku/>
        <w:wordWrap/>
        <w:overflowPunct/>
        <w:topLinePunct w:val="0"/>
        <w:autoSpaceDE/>
        <w:autoSpaceDN/>
        <w:bidi w:val="0"/>
        <w:adjustRightInd/>
        <w:snapToGrid w:val="0"/>
        <w:spacing w:before="181" w:beforeLines="50" w:after="0" w:line="240" w:lineRule="auto"/>
        <w:jc w:val="both"/>
        <w:textAlignment w:val="auto"/>
        <w:rPr>
          <w:rFonts w:ascii="Times New Roman" w:hAnsi="Times New Roman"/>
          <w:sz w:val="20"/>
          <w:szCs w:val="20"/>
        </w:rPr>
      </w:pPr>
      <w:r>
        <w:rPr>
          <w:rFonts w:hint="eastAsia" w:ascii="Times New Roman" w:hAnsi="Times New Roman"/>
          <w:b/>
          <w:bCs/>
          <w:i/>
          <w:iCs/>
          <w:sz w:val="20"/>
          <w:szCs w:val="20"/>
        </w:rPr>
        <w:t>Proposal 11:</w:t>
      </w:r>
      <w:r>
        <w:rPr>
          <w:rFonts w:ascii="Times New Roman" w:hAnsi="Times New Roman"/>
          <w:b/>
          <w:bCs/>
          <w:i/>
          <w:iCs/>
          <w:sz w:val="20"/>
          <w:szCs w:val="20"/>
        </w:rPr>
        <w:t xml:space="preserve"> </w:t>
      </w:r>
      <w:r>
        <w:rPr>
          <w:rFonts w:ascii="Times New Roman" w:hAnsi="Times New Roman"/>
          <w:i/>
          <w:iCs/>
          <w:sz w:val="20"/>
          <w:szCs w:val="20"/>
        </w:rPr>
        <w:t xml:space="preserve">When default PL-RS of the PUCCH is determined by the QCL RS of a CORESET with the lowest index, and </w:t>
      </w:r>
      <w:r>
        <w:rPr>
          <w:rFonts w:hint="eastAsia" w:ascii="Times New Roman" w:hAnsi="Times New Roman"/>
          <w:i/>
          <w:iCs/>
          <w:sz w:val="20"/>
          <w:szCs w:val="20"/>
        </w:rPr>
        <w:t>two TCI states are activated for the CORESET</w:t>
      </w:r>
      <w:r>
        <w:rPr>
          <w:rFonts w:ascii="Times New Roman" w:hAnsi="Times New Roman"/>
          <w:i/>
          <w:iCs/>
          <w:sz w:val="20"/>
          <w:szCs w:val="20"/>
        </w:rPr>
        <w:t xml:space="preserve">, </w:t>
      </w:r>
    </w:p>
    <w:p>
      <w:pPr>
        <w:numPr>
          <w:ilvl w:val="0"/>
          <w:numId w:val="17"/>
        </w:numPr>
        <w:snapToGrid w:val="0"/>
        <w:spacing w:after="0" w:line="240" w:lineRule="auto"/>
        <w:jc w:val="both"/>
        <w:rPr>
          <w:rFonts w:ascii="Times New Roman" w:hAnsi="Times New Roman"/>
          <w:i/>
          <w:iCs/>
          <w:sz w:val="20"/>
          <w:szCs w:val="20"/>
        </w:rPr>
      </w:pPr>
      <w:r>
        <w:rPr>
          <w:rFonts w:hint="eastAsia" w:ascii="Times New Roman" w:hAnsi="Times New Roman"/>
          <w:i/>
          <w:iCs/>
          <w:sz w:val="20"/>
          <w:szCs w:val="20"/>
        </w:rPr>
        <w:t>If PUCCH repetition is not configured, the first one of the two TCI states activated for the CORESET with the lowest ID is used</w:t>
      </w:r>
      <w:r>
        <w:rPr>
          <w:rFonts w:ascii="Times New Roman" w:hAnsi="Times New Roman"/>
          <w:i/>
          <w:iCs/>
          <w:sz w:val="20"/>
          <w:szCs w:val="20"/>
        </w:rPr>
        <w:t xml:space="preserve"> to determine the PL-RS of PUCCH transmission</w:t>
      </w:r>
      <w:r>
        <w:rPr>
          <w:rFonts w:hint="eastAsia" w:ascii="Times New Roman" w:hAnsi="Times New Roman"/>
          <w:i/>
          <w:iCs/>
          <w:sz w:val="20"/>
          <w:szCs w:val="20"/>
        </w:rPr>
        <w:t>.</w:t>
      </w:r>
    </w:p>
    <w:p>
      <w:pPr>
        <w:numPr>
          <w:ilvl w:val="0"/>
          <w:numId w:val="17"/>
        </w:numPr>
        <w:snapToGrid w:val="0"/>
        <w:spacing w:after="0" w:line="240" w:lineRule="auto"/>
        <w:jc w:val="both"/>
        <w:rPr>
          <w:rFonts w:ascii="Times New Roman" w:hAnsi="Times New Roman"/>
          <w:i/>
          <w:iCs/>
          <w:sz w:val="20"/>
          <w:szCs w:val="20"/>
        </w:rPr>
      </w:pPr>
      <w:r>
        <w:rPr>
          <w:rFonts w:hint="eastAsia" w:ascii="Times New Roman" w:hAnsi="Times New Roman"/>
          <w:i/>
          <w:iCs/>
          <w:sz w:val="20"/>
          <w:szCs w:val="20"/>
        </w:rPr>
        <w:t>If PUCCH repetition is configured, the two TCI states activated for the CORESET with the lowest ID are used</w:t>
      </w:r>
      <w:r>
        <w:rPr>
          <w:rFonts w:ascii="Times New Roman" w:hAnsi="Times New Roman"/>
          <w:i/>
          <w:iCs/>
          <w:sz w:val="20"/>
          <w:szCs w:val="20"/>
        </w:rPr>
        <w:t xml:space="preserve"> to determine the PL-RS of PUCCH transmission occasions</w:t>
      </w:r>
      <w:r>
        <w:rPr>
          <w:rFonts w:hint="eastAsia" w:ascii="Times New Roman" w:hAnsi="Times New Roman"/>
          <w:i/>
          <w:iCs/>
          <w:sz w:val="20"/>
          <w:szCs w:val="20"/>
        </w:rPr>
        <w:t>, and each TCI state is associated to one PUCCH transmission occasion group.</w:t>
      </w:r>
    </w:p>
    <w:p>
      <w:pPr>
        <w:keepNext w:val="0"/>
        <w:keepLines w:val="0"/>
        <w:pageBreakBefore w:val="0"/>
        <w:widowControl/>
        <w:kinsoku/>
        <w:wordWrap/>
        <w:overflowPunct/>
        <w:topLinePunct w:val="0"/>
        <w:autoSpaceDE/>
        <w:autoSpaceDN/>
        <w:bidi w:val="0"/>
        <w:adjustRightInd/>
        <w:snapToGrid w:val="0"/>
        <w:spacing w:before="181" w:beforeLines="50" w:after="0" w:line="240" w:lineRule="auto"/>
        <w:jc w:val="both"/>
        <w:textAlignment w:val="auto"/>
        <w:rPr>
          <w:rFonts w:ascii="Times New Roman" w:hAnsi="Times New Roman"/>
          <w:i/>
          <w:iCs/>
          <w:sz w:val="20"/>
          <w:szCs w:val="20"/>
        </w:rPr>
      </w:pPr>
      <w:r>
        <w:rPr>
          <w:rFonts w:hint="eastAsia" w:ascii="Times New Roman" w:hAnsi="Times New Roman"/>
          <w:b/>
          <w:bCs/>
          <w:i/>
          <w:iCs/>
          <w:sz w:val="20"/>
          <w:szCs w:val="20"/>
        </w:rPr>
        <w:t>Proposal 12:</w:t>
      </w:r>
      <w:r>
        <w:rPr>
          <w:rFonts w:ascii="Times New Roman" w:hAnsi="Times New Roman"/>
          <w:b/>
          <w:bCs/>
          <w:i/>
          <w:iCs/>
          <w:sz w:val="20"/>
          <w:szCs w:val="20"/>
        </w:rPr>
        <w:t xml:space="preserve"> </w:t>
      </w:r>
      <w:r>
        <w:rPr>
          <w:rFonts w:ascii="Times New Roman" w:hAnsi="Times New Roman"/>
          <w:bCs/>
          <w:i/>
          <w:iCs/>
          <w:sz w:val="20"/>
          <w:szCs w:val="20"/>
        </w:rPr>
        <w:t xml:space="preserve">When the default PL-RS of PUSCH is determined by QCL RS of CORESET with lowest ID, and </w:t>
      </w:r>
      <w:r>
        <w:rPr>
          <w:rFonts w:hint="eastAsia" w:ascii="Times New Roman" w:hAnsi="Times New Roman"/>
          <w:i/>
          <w:iCs/>
          <w:sz w:val="20"/>
          <w:szCs w:val="20"/>
        </w:rPr>
        <w:t xml:space="preserve">two TCI states are activated for the CORESET </w:t>
      </w:r>
      <w:r>
        <w:rPr>
          <w:rFonts w:ascii="Times New Roman" w:hAnsi="Times New Roman"/>
          <w:i/>
          <w:iCs/>
          <w:sz w:val="20"/>
          <w:szCs w:val="20"/>
        </w:rPr>
        <w:t>,</w:t>
      </w:r>
    </w:p>
    <w:p>
      <w:pPr>
        <w:numPr>
          <w:ilvl w:val="0"/>
          <w:numId w:val="17"/>
        </w:numPr>
        <w:snapToGrid w:val="0"/>
        <w:spacing w:after="0" w:line="240" w:lineRule="auto"/>
        <w:jc w:val="both"/>
        <w:rPr>
          <w:rFonts w:ascii="Times New Roman" w:hAnsi="Times New Roman"/>
          <w:i/>
          <w:iCs/>
          <w:sz w:val="20"/>
          <w:szCs w:val="20"/>
        </w:rPr>
      </w:pPr>
      <w:r>
        <w:rPr>
          <w:rFonts w:hint="eastAsia" w:ascii="Times New Roman" w:hAnsi="Times New Roman"/>
          <w:i/>
          <w:iCs/>
          <w:sz w:val="20"/>
          <w:szCs w:val="20"/>
        </w:rPr>
        <w:t xml:space="preserve">If PUSCH repetition is not configured, the first one of the two TCI states activated for the CORESET with the lowest ID is used as the default </w:t>
      </w:r>
      <w:r>
        <w:rPr>
          <w:rFonts w:ascii="Times New Roman" w:hAnsi="Times New Roman"/>
          <w:i/>
          <w:iCs/>
          <w:sz w:val="20"/>
          <w:szCs w:val="20"/>
        </w:rPr>
        <w:t>PL-RS</w:t>
      </w:r>
      <w:r>
        <w:rPr>
          <w:rFonts w:hint="eastAsia" w:ascii="Times New Roman" w:hAnsi="Times New Roman"/>
          <w:i/>
          <w:iCs/>
          <w:sz w:val="20"/>
          <w:szCs w:val="20"/>
        </w:rPr>
        <w:t>.</w:t>
      </w:r>
    </w:p>
    <w:p>
      <w:pPr>
        <w:numPr>
          <w:ilvl w:val="0"/>
          <w:numId w:val="17"/>
        </w:numPr>
        <w:snapToGrid w:val="0"/>
        <w:spacing w:after="0" w:line="240" w:lineRule="auto"/>
        <w:jc w:val="both"/>
        <w:rPr>
          <w:rFonts w:ascii="Times New Roman" w:hAnsi="Times New Roman"/>
          <w:i w:val="0"/>
          <w:iCs w:val="0"/>
          <w:sz w:val="20"/>
          <w:szCs w:val="20"/>
        </w:rPr>
      </w:pPr>
      <w:r>
        <w:rPr>
          <w:rFonts w:hint="eastAsia" w:ascii="Times New Roman" w:hAnsi="Times New Roman"/>
          <w:i/>
          <w:iCs/>
          <w:sz w:val="20"/>
          <w:szCs w:val="20"/>
        </w:rPr>
        <w:t xml:space="preserve">If PUSCH repetition is configured, the two TCI states activated for the CORESET with the lowest ID are used as the default </w:t>
      </w:r>
      <w:r>
        <w:rPr>
          <w:rFonts w:ascii="Times New Roman" w:hAnsi="Times New Roman"/>
          <w:i/>
          <w:iCs/>
          <w:sz w:val="20"/>
          <w:szCs w:val="20"/>
        </w:rPr>
        <w:t>PL-RS</w:t>
      </w:r>
      <w:r>
        <w:rPr>
          <w:rFonts w:hint="eastAsia" w:ascii="Times New Roman" w:hAnsi="Times New Roman"/>
          <w:i/>
          <w:iCs/>
          <w:sz w:val="20"/>
          <w:szCs w:val="20"/>
        </w:rPr>
        <w:t>, and each TCI states is associated to one PUSCH transmission occasion group.</w:t>
      </w:r>
    </w:p>
    <w:p>
      <w:pPr>
        <w:keepNext w:val="0"/>
        <w:keepLines w:val="0"/>
        <w:pageBreakBefore w:val="0"/>
        <w:widowControl/>
        <w:kinsoku/>
        <w:wordWrap/>
        <w:overflowPunct/>
        <w:topLinePunct w:val="0"/>
        <w:autoSpaceDE/>
        <w:autoSpaceDN/>
        <w:bidi w:val="0"/>
        <w:adjustRightInd/>
        <w:snapToGrid w:val="0"/>
        <w:spacing w:before="181" w:beforeLines="50" w:after="0" w:line="240" w:lineRule="auto"/>
        <w:jc w:val="both"/>
        <w:textAlignment w:val="auto"/>
        <w:rPr>
          <w:rFonts w:ascii="Times New Roman" w:hAnsi="Times New Roman"/>
          <w:i/>
          <w:iCs/>
          <w:sz w:val="20"/>
          <w:szCs w:val="20"/>
        </w:rPr>
      </w:pPr>
      <w:r>
        <w:rPr>
          <w:rFonts w:hint="eastAsia" w:ascii="Times New Roman" w:hAnsi="Times New Roman"/>
          <w:b/>
          <w:bCs/>
          <w:i/>
          <w:iCs/>
          <w:sz w:val="20"/>
          <w:szCs w:val="20"/>
        </w:rPr>
        <w:t>Proposal 13:</w:t>
      </w:r>
      <w:r>
        <w:rPr>
          <w:rFonts w:ascii="Times New Roman" w:hAnsi="Times New Roman"/>
          <w:b/>
          <w:bCs/>
          <w:i/>
          <w:iCs/>
          <w:sz w:val="20"/>
          <w:szCs w:val="20"/>
        </w:rPr>
        <w:t xml:space="preserve"> </w:t>
      </w:r>
      <w:r>
        <w:rPr>
          <w:rFonts w:ascii="Times New Roman" w:hAnsi="Times New Roman"/>
          <w:bCs/>
          <w:i/>
          <w:iCs/>
          <w:sz w:val="20"/>
          <w:szCs w:val="20"/>
        </w:rPr>
        <w:t xml:space="preserve">When the default PL-RS of SRS is determined by QCL RS of CORESET with lowest ID, and </w:t>
      </w:r>
      <w:r>
        <w:rPr>
          <w:rFonts w:hint="eastAsia" w:ascii="Times New Roman" w:hAnsi="Times New Roman"/>
          <w:i/>
          <w:iCs/>
          <w:sz w:val="20"/>
          <w:szCs w:val="20"/>
        </w:rPr>
        <w:t>two TCI states are activated for the CORESET,</w:t>
      </w:r>
    </w:p>
    <w:p>
      <w:pPr>
        <w:numPr>
          <w:ilvl w:val="0"/>
          <w:numId w:val="17"/>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I</w:t>
      </w:r>
      <w:r>
        <w:rPr>
          <w:rFonts w:ascii="Times New Roman" w:hAnsi="Times New Roman"/>
          <w:i/>
          <w:iCs/>
          <w:sz w:val="20"/>
          <w:szCs w:val="20"/>
        </w:rPr>
        <w:t xml:space="preserve">f only one SRS resource set for codebook/non-codebbok is configured, </w:t>
      </w:r>
      <w:r>
        <w:rPr>
          <w:rFonts w:hint="eastAsia" w:ascii="Times New Roman" w:hAnsi="Times New Roman"/>
          <w:i/>
          <w:iCs/>
          <w:sz w:val="20"/>
          <w:szCs w:val="20"/>
        </w:rPr>
        <w:t xml:space="preserve">the first one of the two TCI states activated for the CORESET with the lowest ID is used as the default </w:t>
      </w:r>
      <w:r>
        <w:rPr>
          <w:rFonts w:ascii="Times New Roman" w:hAnsi="Times New Roman"/>
          <w:i/>
          <w:iCs/>
          <w:sz w:val="20"/>
          <w:szCs w:val="20"/>
        </w:rPr>
        <w:t>PL-RS of SRS</w:t>
      </w:r>
    </w:p>
    <w:p>
      <w:pPr>
        <w:numPr>
          <w:ilvl w:val="0"/>
          <w:numId w:val="17"/>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I</w:t>
      </w:r>
      <w:r>
        <w:rPr>
          <w:rFonts w:ascii="Times New Roman" w:hAnsi="Times New Roman"/>
          <w:i/>
          <w:iCs/>
          <w:sz w:val="20"/>
          <w:szCs w:val="20"/>
        </w:rPr>
        <w:t xml:space="preserve">f two SRS resource sets for codebook/non-codebook is configured, </w:t>
      </w:r>
      <w:r>
        <w:rPr>
          <w:rFonts w:hint="eastAsia" w:ascii="Times New Roman" w:hAnsi="Times New Roman"/>
          <w:i/>
          <w:iCs/>
          <w:sz w:val="20"/>
          <w:szCs w:val="20"/>
        </w:rPr>
        <w:t xml:space="preserve">the two TCI states activated for the CORESET with the lowest ID are used as the default </w:t>
      </w:r>
      <w:r>
        <w:rPr>
          <w:rFonts w:ascii="Times New Roman" w:hAnsi="Times New Roman"/>
          <w:i/>
          <w:iCs/>
          <w:sz w:val="20"/>
          <w:szCs w:val="20"/>
        </w:rPr>
        <w:t>PL-RS of SRS</w:t>
      </w:r>
      <w:r>
        <w:rPr>
          <w:rFonts w:hint="eastAsia" w:ascii="Times New Roman" w:hAnsi="Times New Roman"/>
          <w:i/>
          <w:iCs/>
          <w:sz w:val="20"/>
          <w:szCs w:val="20"/>
        </w:rPr>
        <w:t>, and each TCI states is associated to one</w:t>
      </w:r>
      <w:r>
        <w:rPr>
          <w:rFonts w:ascii="Times New Roman" w:hAnsi="Times New Roman"/>
          <w:i/>
          <w:iCs/>
          <w:sz w:val="20"/>
          <w:szCs w:val="20"/>
        </w:rPr>
        <w:t xml:space="preserve"> SRS resource set</w:t>
      </w:r>
    </w:p>
    <w:p>
      <w:pPr>
        <w:keepNext w:val="0"/>
        <w:keepLines w:val="0"/>
        <w:pageBreakBefore w:val="0"/>
        <w:widowControl/>
        <w:kinsoku/>
        <w:wordWrap/>
        <w:overflowPunct/>
        <w:topLinePunct w:val="0"/>
        <w:autoSpaceDE/>
        <w:autoSpaceDN/>
        <w:bidi w:val="0"/>
        <w:adjustRightInd/>
        <w:snapToGrid w:val="0"/>
        <w:spacing w:before="181" w:beforeLines="50" w:after="0" w:line="240" w:lineRule="auto"/>
        <w:textAlignment w:val="auto"/>
        <w:rPr>
          <w:rStyle w:val="34"/>
        </w:rPr>
      </w:pPr>
      <w:r>
        <w:rPr>
          <w:rFonts w:hint="eastAsia" w:ascii="Times New Roman" w:hAnsi="Times New Roman"/>
          <w:b/>
          <w:bCs/>
          <w:i/>
          <w:iCs/>
          <w:sz w:val="20"/>
          <w:szCs w:val="20"/>
        </w:rPr>
        <w:t xml:space="preserve">Proposal 14: </w:t>
      </w:r>
      <w:r>
        <w:rPr>
          <w:rFonts w:ascii="Times New Roman" w:hAnsi="Times New Roman"/>
          <w:i/>
          <w:iCs/>
          <w:sz w:val="20"/>
          <w:szCs w:val="20"/>
        </w:rPr>
        <w:t>F</w:t>
      </w:r>
      <w:r>
        <w:rPr>
          <w:rFonts w:hint="eastAsia" w:ascii="Times New Roman" w:hAnsi="Times New Roman"/>
          <w:i/>
          <w:iCs/>
          <w:sz w:val="20"/>
          <w:szCs w:val="20"/>
        </w:rPr>
        <w:t xml:space="preserve">or BFD, </w:t>
      </w:r>
      <w:r>
        <w:rPr>
          <w:rFonts w:ascii="Times New Roman" w:hAnsi="Times New Roman"/>
          <w:i/>
          <w:iCs/>
          <w:sz w:val="20"/>
          <w:szCs w:val="20"/>
        </w:rPr>
        <w:t xml:space="preserve">the above </w:t>
      </w:r>
      <w:r>
        <w:rPr>
          <w:rFonts w:hint="eastAsia" w:ascii="Times New Roman" w:hAnsi="Times New Roman"/>
          <w:i/>
          <w:iCs/>
          <w:sz w:val="20"/>
          <w:szCs w:val="20"/>
        </w:rPr>
        <w:t>Alt 1-2</w:t>
      </w:r>
      <w:r>
        <w:rPr>
          <w:rFonts w:ascii="Times New Roman" w:hAnsi="Times New Roman"/>
          <w:i/>
          <w:iCs/>
          <w:sz w:val="20"/>
          <w:szCs w:val="20"/>
        </w:rPr>
        <w:t xml:space="preserve"> and</w:t>
      </w:r>
      <w:r>
        <w:rPr>
          <w:rFonts w:hint="eastAsia" w:ascii="Times New Roman" w:hAnsi="Times New Roman"/>
          <w:i/>
          <w:iCs/>
          <w:sz w:val="20"/>
          <w:szCs w:val="20"/>
        </w:rPr>
        <w:t xml:space="preserve"> Alt 2-1 should be supported</w:t>
      </w:r>
      <w:r>
        <w:rPr>
          <w:rFonts w:ascii="Times New Roman" w:hAnsi="Times New Roman"/>
          <w:i/>
          <w:iCs/>
          <w:sz w:val="20"/>
          <w:szCs w:val="20"/>
        </w:rPr>
        <w:t>, i.e</w:t>
      </w:r>
      <w:r>
        <w:rPr>
          <w:rFonts w:hint="eastAsia" w:ascii="Times New Roman" w:hAnsi="Times New Roman"/>
          <w:i/>
          <w:iCs/>
          <w:sz w:val="20"/>
          <w:szCs w:val="20"/>
        </w:rPr>
        <w:t>.</w:t>
      </w:r>
    </w:p>
    <w:p>
      <w:pPr>
        <w:numPr>
          <w:ilvl w:val="0"/>
          <w:numId w:val="17"/>
        </w:numPr>
        <w:snapToGrid w:val="0"/>
        <w:spacing w:after="0" w:line="240" w:lineRule="auto"/>
        <w:ind w:left="839"/>
        <w:jc w:val="both"/>
        <w:rPr>
          <w:rFonts w:ascii="Times New Roman" w:hAnsi="Times New Roman"/>
          <w:i/>
          <w:iCs/>
          <w:sz w:val="20"/>
          <w:szCs w:val="20"/>
          <w:lang w:val="en-GB" w:eastAsia="ko-KR"/>
        </w:rPr>
      </w:pPr>
      <w:r>
        <w:rPr>
          <w:rFonts w:hint="eastAsia" w:ascii="Times New Roman" w:hAnsi="Times New Roman"/>
          <w:i/>
          <w:iCs/>
          <w:sz w:val="20"/>
          <w:szCs w:val="20"/>
        </w:rPr>
        <w:t>F</w:t>
      </w:r>
      <w:r>
        <w:rPr>
          <w:rFonts w:ascii="Times New Roman" w:hAnsi="Times New Roman"/>
          <w:i/>
          <w:iCs/>
          <w:sz w:val="20"/>
          <w:szCs w:val="20"/>
        </w:rPr>
        <w:t xml:space="preserve">or implicit configuration, </w:t>
      </w:r>
      <w:r>
        <w:rPr>
          <w:rFonts w:ascii="Times New Roman" w:hAnsi="Times New Roman"/>
          <w:i/>
          <w:iCs/>
          <w:sz w:val="20"/>
          <w:szCs w:val="20"/>
          <w:lang w:val="en-GB" w:eastAsia="ko-KR"/>
        </w:rPr>
        <w:t>RS of CORESETs with both single and two TCI states are used</w:t>
      </w:r>
      <w:r>
        <w:rPr>
          <w:rFonts w:ascii="Times New Roman" w:hAnsi="Times New Roman"/>
          <w:i/>
          <w:iCs/>
          <w:sz w:val="20"/>
          <w:szCs w:val="20"/>
        </w:rPr>
        <w:t>;</w:t>
      </w:r>
    </w:p>
    <w:p>
      <w:pPr>
        <w:numPr>
          <w:ilvl w:val="0"/>
          <w:numId w:val="17"/>
        </w:numPr>
        <w:snapToGrid w:val="0"/>
        <w:spacing w:after="0" w:line="240" w:lineRule="auto"/>
        <w:ind w:left="839"/>
        <w:jc w:val="both"/>
        <w:rPr>
          <w:rFonts w:ascii="Times New Roman" w:hAnsi="Times New Roman"/>
          <w:i/>
          <w:iCs/>
          <w:sz w:val="20"/>
          <w:szCs w:val="20"/>
          <w:lang w:val="en-GB" w:eastAsia="ko-KR"/>
        </w:rPr>
      </w:pPr>
      <w:r>
        <w:rPr>
          <w:rFonts w:hint="eastAsia" w:ascii="Times New Roman" w:hAnsi="Times New Roman"/>
          <w:i/>
          <w:iCs/>
          <w:sz w:val="20"/>
          <w:szCs w:val="20"/>
        </w:rPr>
        <w:t>F</w:t>
      </w:r>
      <w:r>
        <w:rPr>
          <w:rFonts w:ascii="Times New Roman" w:hAnsi="Times New Roman"/>
          <w:i/>
          <w:iCs/>
          <w:sz w:val="20"/>
          <w:szCs w:val="20"/>
        </w:rPr>
        <w:t xml:space="preserve">or </w:t>
      </w:r>
      <w:r>
        <w:rPr>
          <w:rFonts w:ascii="Times New Roman" w:hAnsi="Times New Roman"/>
          <w:i/>
          <w:iCs/>
          <w:sz w:val="20"/>
          <w:szCs w:val="20"/>
          <w:lang w:val="en-GB" w:eastAsia="ko-KR"/>
        </w:rPr>
        <w:t>explicit configuration</w:t>
      </w:r>
      <w:r>
        <w:rPr>
          <w:rFonts w:ascii="Times New Roman" w:hAnsi="Times New Roman"/>
          <w:i/>
          <w:iCs/>
          <w:sz w:val="20"/>
          <w:szCs w:val="20"/>
        </w:rPr>
        <w:t xml:space="preserve">, </w:t>
      </w:r>
      <w:r>
        <w:rPr>
          <w:rFonts w:hint="eastAsia" w:ascii="Times New Roman" w:hAnsi="Times New Roman"/>
          <w:i/>
          <w:iCs/>
          <w:sz w:val="20"/>
          <w:szCs w:val="20"/>
        </w:rPr>
        <w:t>s</w:t>
      </w:r>
      <w:r>
        <w:rPr>
          <w:rFonts w:ascii="Times New Roman" w:hAnsi="Times New Roman"/>
          <w:i/>
          <w:iCs/>
          <w:sz w:val="20"/>
          <w:szCs w:val="20"/>
          <w:lang w:val="en-GB" w:eastAsia="ko-KR"/>
        </w:rPr>
        <w:t xml:space="preserve">upport defining </w:t>
      </w:r>
      <w:r>
        <w:rPr>
          <w:rFonts w:ascii="Times New Roman" w:hAnsi="Times New Roman"/>
          <w:i/>
          <w:iCs/>
          <w:sz w:val="20"/>
          <w:szCs w:val="20"/>
        </w:rPr>
        <w:t>CSI-RS resource or SSB pairs;</w:t>
      </w:r>
    </w:p>
    <w:p>
      <w:pPr>
        <w:numPr>
          <w:ilvl w:val="0"/>
          <w:numId w:val="17"/>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F</w:t>
      </w:r>
      <w:r>
        <w:rPr>
          <w:rFonts w:ascii="Times New Roman" w:hAnsi="Times New Roman"/>
          <w:i/>
          <w:iCs/>
          <w:sz w:val="20"/>
          <w:szCs w:val="20"/>
        </w:rPr>
        <w:t>or assumptions for hypothetical BLER calculation for PDCCH, UE calculates one hypothetical BLER under SFN assumption of BFD RS pairs.</w:t>
      </w:r>
    </w:p>
    <w:p>
      <w:pPr>
        <w:snapToGrid w:val="0"/>
        <w:spacing w:before="180" w:beforeLines="50" w:after="10" w:line="240" w:lineRule="auto"/>
        <w:rPr>
          <w:rFonts w:hint="eastAsia" w:ascii="Times New Roman" w:hAnsi="Times New Roman"/>
          <w:i/>
          <w:iCs/>
          <w:sz w:val="20"/>
          <w:szCs w:val="20"/>
        </w:rPr>
      </w:pPr>
      <w:r>
        <w:rPr>
          <w:rFonts w:hint="eastAsia" w:ascii="Times New Roman" w:hAnsi="Times New Roman"/>
          <w:b/>
          <w:bCs/>
          <w:i/>
          <w:iCs/>
          <w:sz w:val="20"/>
          <w:szCs w:val="20"/>
        </w:rPr>
        <w:t xml:space="preserve">Proposal 15: </w:t>
      </w:r>
      <w:r>
        <w:rPr>
          <w:rFonts w:ascii="Times New Roman" w:hAnsi="Times New Roman"/>
          <w:i/>
          <w:iCs/>
          <w:sz w:val="20"/>
          <w:szCs w:val="20"/>
        </w:rPr>
        <w:t>F</w:t>
      </w:r>
      <w:r>
        <w:rPr>
          <w:rFonts w:hint="eastAsia" w:ascii="Times New Roman" w:hAnsi="Times New Roman"/>
          <w:i/>
          <w:iCs/>
          <w:sz w:val="20"/>
          <w:szCs w:val="20"/>
        </w:rPr>
        <w:t xml:space="preserve">or NBI, </w:t>
      </w:r>
      <w:r>
        <w:rPr>
          <w:rFonts w:ascii="Times New Roman" w:hAnsi="Times New Roman"/>
          <w:i/>
          <w:iCs/>
          <w:sz w:val="20"/>
          <w:szCs w:val="20"/>
        </w:rPr>
        <w:t>support both</w:t>
      </w:r>
      <w:r>
        <w:rPr>
          <w:rFonts w:hint="eastAsia" w:ascii="Times New Roman" w:hAnsi="Times New Roman"/>
          <w:i/>
          <w:iCs/>
          <w:sz w:val="20"/>
          <w:szCs w:val="20"/>
        </w:rPr>
        <w:t xml:space="preserve"> beam pair and individual beam as the </w:t>
      </w:r>
      <w:r>
        <w:rPr>
          <w:rFonts w:ascii="Times New Roman" w:hAnsi="Times New Roman"/>
          <w:i/>
          <w:iCs/>
          <w:sz w:val="20"/>
          <w:szCs w:val="20"/>
        </w:rPr>
        <w:t xml:space="preserve">new </w:t>
      </w:r>
      <w:r>
        <w:rPr>
          <w:rFonts w:hint="eastAsia" w:ascii="Times New Roman" w:hAnsi="Times New Roman"/>
          <w:i/>
          <w:iCs/>
          <w:sz w:val="20"/>
          <w:szCs w:val="20"/>
        </w:rPr>
        <w:t>candidate beam.</w:t>
      </w:r>
    </w:p>
    <w:p>
      <w:pPr>
        <w:pStyle w:val="2"/>
        <w:snapToGrid w:val="0"/>
        <w:spacing w:before="180" w:beforeLines="50" w:after="180" w:afterLines="50"/>
        <w:ind w:left="431" w:hanging="431"/>
        <w:rPr>
          <w:lang w:val="en-US"/>
        </w:rPr>
      </w:pPr>
      <w:r>
        <w:rPr>
          <w:rFonts w:hint="eastAsia"/>
          <w:lang w:val="en-US"/>
        </w:rPr>
        <w:t>References</w:t>
      </w:r>
    </w:p>
    <w:bookmarkEnd w:id="24"/>
    <w:bookmarkEnd w:id="25"/>
    <w:p>
      <w:pPr>
        <w:pStyle w:val="88"/>
        <w:numPr>
          <w:ilvl w:val="0"/>
          <w:numId w:val="19"/>
        </w:numPr>
        <w:snapToGrid w:val="0"/>
        <w:rPr>
          <w:sz w:val="20"/>
          <w:szCs w:val="20"/>
          <w:lang w:val="en-GB"/>
        </w:rPr>
      </w:pPr>
      <w:r>
        <w:rPr>
          <w:rFonts w:hint="eastAsia"/>
          <w:sz w:val="20"/>
          <w:szCs w:val="20"/>
        </w:rPr>
        <w:t>RP-193133, WID proposal FeMIMO, Samsung</w:t>
      </w:r>
    </w:p>
    <w:p>
      <w:pPr>
        <w:pStyle w:val="88"/>
        <w:numPr>
          <w:ilvl w:val="0"/>
          <w:numId w:val="19"/>
        </w:numPr>
        <w:snapToGrid w:val="0"/>
        <w:rPr>
          <w:sz w:val="20"/>
          <w:szCs w:val="20"/>
          <w:lang w:val="en-GB"/>
        </w:rPr>
      </w:pPr>
      <w:r>
        <w:rPr>
          <w:rFonts w:hint="eastAsia"/>
          <w:sz w:val="20"/>
          <w:szCs w:val="20"/>
        </w:rPr>
        <w:t xml:space="preserve">R1-2106242 </w:t>
      </w:r>
      <w:r>
        <w:rPr>
          <w:rFonts w:eastAsia="Malgun Gothic"/>
          <w:bCs/>
          <w:sz w:val="20"/>
          <w:szCs w:val="20"/>
          <w:lang w:eastAsia="ko-KR"/>
        </w:rPr>
        <w:t>S</w:t>
      </w:r>
      <w:r>
        <w:rPr>
          <w:sz w:val="20"/>
          <w:szCs w:val="20"/>
          <w:lang w:eastAsia="ko-KR"/>
        </w:rPr>
        <w:t>ummary#3 of AI: 8.1.2.4 Enhancements on HST-SFN deployment</w:t>
      </w:r>
      <w:r>
        <w:rPr>
          <w:rFonts w:hint="eastAsia"/>
          <w:sz w:val="20"/>
          <w:szCs w:val="20"/>
        </w:rPr>
        <w:t xml:space="preserve">, </w:t>
      </w:r>
      <w:r>
        <w:rPr>
          <w:bCs/>
          <w:sz w:val="20"/>
          <w:szCs w:val="20"/>
        </w:rPr>
        <w:t xml:space="preserve">Moderator </w:t>
      </w:r>
      <w:r>
        <w:rPr>
          <w:color w:val="000000"/>
          <w:sz w:val="20"/>
          <w:szCs w:val="20"/>
        </w:rPr>
        <w:t>(Intel Corporation)</w:t>
      </w:r>
    </w:p>
    <w:p>
      <w:pPr>
        <w:pStyle w:val="88"/>
        <w:numPr>
          <w:ilvl w:val="0"/>
          <w:numId w:val="19"/>
        </w:numPr>
        <w:snapToGrid w:val="0"/>
        <w:rPr>
          <w:sz w:val="20"/>
          <w:szCs w:val="20"/>
          <w:lang w:val="en-GB"/>
        </w:rPr>
      </w:pPr>
      <w:bookmarkStart w:id="26" w:name="OLE_LINK14"/>
      <w:r>
        <w:rPr>
          <w:rFonts w:hint="eastAsia"/>
          <w:sz w:val="20"/>
          <w:szCs w:val="20"/>
        </w:rPr>
        <w:t>38.213 g</w:t>
      </w:r>
      <w:r>
        <w:rPr>
          <w:rFonts w:hint="eastAsia"/>
          <w:sz w:val="20"/>
          <w:szCs w:val="20"/>
          <w:lang w:val="en-US" w:eastAsia="zh-CN"/>
        </w:rPr>
        <w:t>6</w:t>
      </w:r>
      <w:r>
        <w:rPr>
          <w:rFonts w:hint="eastAsia"/>
          <w:sz w:val="20"/>
          <w:szCs w:val="20"/>
        </w:rPr>
        <w:t xml:space="preserve">0 </w:t>
      </w:r>
      <w:r>
        <w:rPr>
          <w:sz w:val="20"/>
          <w:szCs w:val="20"/>
          <w:lang w:val="en-GB"/>
        </w:rPr>
        <w:t>Physical layer procedures for control</w:t>
      </w:r>
      <w:r>
        <w:rPr>
          <w:rFonts w:hint="eastAsia"/>
          <w:sz w:val="20"/>
          <w:szCs w:val="20"/>
        </w:rPr>
        <w:t>, 3GPP</w:t>
      </w:r>
    </w:p>
    <w:bookmarkEnd w:id="26"/>
    <w:p>
      <w:pPr>
        <w:pStyle w:val="88"/>
        <w:numPr>
          <w:ilvl w:val="0"/>
          <w:numId w:val="19"/>
        </w:numPr>
        <w:snapToGrid w:val="0"/>
        <w:rPr>
          <w:sz w:val="20"/>
          <w:szCs w:val="20"/>
          <w:lang w:val="en-GB"/>
        </w:rPr>
      </w:pPr>
      <w:r>
        <w:rPr>
          <w:rFonts w:hint="eastAsia"/>
          <w:sz w:val="20"/>
          <w:szCs w:val="20"/>
        </w:rPr>
        <w:t xml:space="preserve">38.214 g50 </w:t>
      </w:r>
      <w:r>
        <w:rPr>
          <w:sz w:val="20"/>
          <w:szCs w:val="20"/>
          <w:lang w:val="en-GB"/>
        </w:rPr>
        <w:t>Physical layer procedures for data</w:t>
      </w:r>
      <w:r>
        <w:rPr>
          <w:rFonts w:hint="eastAsia"/>
          <w:sz w:val="20"/>
          <w:szCs w:val="20"/>
        </w:rPr>
        <w:t>, 3GPP</w:t>
      </w:r>
    </w:p>
    <w:p>
      <w:pPr>
        <w:pStyle w:val="88"/>
        <w:numPr>
          <w:ilvl w:val="0"/>
          <w:numId w:val="19"/>
        </w:numPr>
        <w:snapToGrid w:val="0"/>
        <w:rPr>
          <w:sz w:val="20"/>
          <w:szCs w:val="20"/>
          <w:lang w:val="en-GB"/>
        </w:rPr>
      </w:pPr>
      <w:r>
        <w:rPr>
          <w:rFonts w:hint="eastAsia"/>
          <w:sz w:val="20"/>
          <w:szCs w:val="20"/>
          <w:lang w:val="en-GB"/>
        </w:rPr>
        <w:t>Chair's Notes RAN1#105-e final</w:t>
      </w:r>
      <w:r>
        <w:rPr>
          <w:rFonts w:hint="eastAsia"/>
          <w:sz w:val="20"/>
          <w:szCs w:val="20"/>
        </w:rPr>
        <w:t>, May 10</w:t>
      </w:r>
      <w:r>
        <w:rPr>
          <w:rFonts w:hint="eastAsia"/>
          <w:sz w:val="20"/>
          <w:szCs w:val="20"/>
          <w:vertAlign w:val="superscript"/>
        </w:rPr>
        <w:t>th</w:t>
      </w:r>
      <w:r>
        <w:rPr>
          <w:rFonts w:hint="eastAsia"/>
          <w:sz w:val="20"/>
          <w:szCs w:val="20"/>
        </w:rPr>
        <w:t>-27</w:t>
      </w:r>
      <w:r>
        <w:rPr>
          <w:rFonts w:hint="eastAsia"/>
          <w:sz w:val="20"/>
          <w:szCs w:val="20"/>
          <w:vertAlign w:val="superscript"/>
        </w:rPr>
        <w:t>th</w:t>
      </w:r>
      <w:r>
        <w:rPr>
          <w:rFonts w:hint="eastAsia"/>
          <w:sz w:val="20"/>
          <w:szCs w:val="20"/>
        </w:rPr>
        <w:t>, 2021,3GPP</w:t>
      </w:r>
    </w:p>
    <w:p>
      <w:pPr>
        <w:pStyle w:val="88"/>
        <w:snapToGrid w:val="0"/>
        <w:rPr>
          <w:sz w:val="20"/>
          <w:szCs w:val="20"/>
          <w:lang w:val="en-GB"/>
        </w:rPr>
      </w:pPr>
    </w:p>
    <w:p>
      <w:pPr>
        <w:pStyle w:val="99"/>
        <w:keepNext/>
        <w:keepLines/>
        <w:widowControl w:val="0"/>
        <w:numPr>
          <w:ilvl w:val="0"/>
          <w:numId w:val="4"/>
        </w:numPr>
        <w:autoSpaceDE w:val="0"/>
        <w:autoSpaceDN w:val="0"/>
        <w:adjustRightInd w:val="0"/>
        <w:snapToGrid w:val="0"/>
        <w:spacing w:before="180" w:beforeLines="50" w:after="180" w:afterLines="50" w:line="416" w:lineRule="auto"/>
        <w:ind w:firstLineChars="0"/>
        <w:outlineLvl w:val="1"/>
        <w:rPr>
          <w:rFonts w:ascii="Arial" w:hAnsi="Arial" w:eastAsia="黑体" w:cs="Arial"/>
          <w:b/>
          <w:bCs/>
          <w:vanish/>
          <w:sz w:val="24"/>
          <w:szCs w:val="24"/>
        </w:rPr>
      </w:pPr>
    </w:p>
    <w:p>
      <w:pPr>
        <w:pStyle w:val="99"/>
        <w:keepNext/>
        <w:keepLines/>
        <w:widowControl w:val="0"/>
        <w:numPr>
          <w:ilvl w:val="0"/>
          <w:numId w:val="4"/>
        </w:numPr>
        <w:autoSpaceDE w:val="0"/>
        <w:autoSpaceDN w:val="0"/>
        <w:adjustRightInd w:val="0"/>
        <w:snapToGrid w:val="0"/>
        <w:spacing w:before="180" w:beforeLines="50" w:after="180" w:afterLines="50" w:line="416" w:lineRule="auto"/>
        <w:ind w:firstLineChars="0"/>
        <w:outlineLvl w:val="1"/>
        <w:rPr>
          <w:rFonts w:ascii="Arial" w:hAnsi="Arial" w:eastAsia="黑体" w:cs="Arial"/>
          <w:b/>
          <w:bCs/>
          <w:vanish/>
          <w:sz w:val="24"/>
          <w:szCs w:val="24"/>
        </w:rPr>
      </w:pPr>
    </w:p>
    <w:p>
      <w:pPr>
        <w:pStyle w:val="99"/>
        <w:keepNext/>
        <w:keepLines/>
        <w:widowControl w:val="0"/>
        <w:numPr>
          <w:ilvl w:val="0"/>
          <w:numId w:val="4"/>
        </w:numPr>
        <w:autoSpaceDE w:val="0"/>
        <w:autoSpaceDN w:val="0"/>
        <w:adjustRightInd w:val="0"/>
        <w:snapToGrid w:val="0"/>
        <w:spacing w:before="180" w:beforeLines="50" w:after="180" w:afterLines="50" w:line="416" w:lineRule="auto"/>
        <w:ind w:firstLineChars="0"/>
        <w:outlineLvl w:val="1"/>
        <w:rPr>
          <w:rFonts w:ascii="Arial" w:hAnsi="Arial" w:eastAsia="黑体" w:cs="Arial"/>
          <w:b/>
          <w:bCs/>
          <w:vanish/>
          <w:sz w:val="24"/>
          <w:szCs w:val="24"/>
        </w:rPr>
      </w:pPr>
    </w:p>
    <w:p>
      <w:pPr>
        <w:pStyle w:val="88"/>
        <w:snapToGrid w:val="0"/>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roman"/>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11</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F8B8A4"/>
    <w:multiLevelType w:val="singleLevel"/>
    <w:tmpl w:val="B5F8B8A4"/>
    <w:lvl w:ilvl="0" w:tentative="0">
      <w:start w:val="1"/>
      <w:numFmt w:val="bullet"/>
      <w:lvlText w:val=""/>
      <w:lvlJc w:val="left"/>
      <w:pPr>
        <w:tabs>
          <w:tab w:val="left" w:pos="420"/>
        </w:tabs>
        <w:ind w:left="840" w:hanging="420"/>
      </w:pPr>
      <w:rPr>
        <w:rFonts w:hint="default" w:ascii="Wingdings" w:hAnsi="Wingdings"/>
      </w:rPr>
    </w:lvl>
  </w:abstractNum>
  <w:abstractNum w:abstractNumId="1">
    <w:nsid w:val="DD93495D"/>
    <w:multiLevelType w:val="singleLevel"/>
    <w:tmpl w:val="DD93495D"/>
    <w:lvl w:ilvl="0" w:tentative="0">
      <w:start w:val="1"/>
      <w:numFmt w:val="decimal"/>
      <w:suff w:val="space"/>
      <w:lvlText w:val="[%1]"/>
      <w:lvlJc w:val="left"/>
    </w:lvl>
  </w:abstractNum>
  <w:abstractNum w:abstractNumId="2">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ascii="Times New Roman" w:hAnsi="Times New Roman" w:eastAsia="宋体" w:cs="宋体"/>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0C2F2A20"/>
    <w:multiLevelType w:val="multilevel"/>
    <w:tmpl w:val="0C2F2A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D83137A"/>
    <w:multiLevelType w:val="multilevel"/>
    <w:tmpl w:val="0D83137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
    <w:nsid w:val="19906731"/>
    <w:multiLevelType w:val="multilevel"/>
    <w:tmpl w:val="19906731"/>
    <w:lvl w:ilvl="0" w:tentative="0">
      <w:start w:val="2"/>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Arial" w:hAnsi="Arial" w:eastAsia="宋体" w:cs="宋体"/>
        <w:sz w:val="24"/>
        <w:szCs w:val="28"/>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28408BE9"/>
    <w:multiLevelType w:val="multilevel"/>
    <w:tmpl w:val="28408BE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29A02407"/>
    <w:multiLevelType w:val="multilevel"/>
    <w:tmpl w:val="29A02407"/>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8">
    <w:nsid w:val="2BD666FE"/>
    <w:multiLevelType w:val="multilevel"/>
    <w:tmpl w:val="2BD666FE"/>
    <w:lvl w:ilvl="0" w:tentative="0">
      <w:start w:val="1"/>
      <w:numFmt w:val="decimal"/>
      <w:lvlText w:val="%1."/>
      <w:lvlJc w:val="left"/>
      <w:pPr>
        <w:ind w:left="1080" w:hanging="360"/>
      </w:pPr>
      <w:rPr>
        <w:rFonts w:hint="default"/>
      </w:rPr>
    </w:lvl>
    <w:lvl w:ilvl="1" w:tentative="0">
      <w:start w:val="4"/>
      <w:numFmt w:val="lowerLetter"/>
      <w:lvlText w:val="%2."/>
      <w:lvlJc w:val="left"/>
      <w:pPr>
        <w:ind w:left="1800" w:hanging="360"/>
      </w:pPr>
      <w:rPr>
        <w:rFonts w:hint="eastAsia"/>
      </w:rPr>
    </w:lvl>
    <w:lvl w:ilvl="2" w:tentative="0">
      <w:start w:val="1"/>
      <w:numFmt w:val="lowerRoman"/>
      <w:lvlText w:val="%3."/>
      <w:lvlJc w:val="right"/>
      <w:pPr>
        <w:ind w:left="2520" w:hanging="180"/>
      </w:pPr>
      <w:rPr>
        <w:rFonts w:hint="eastAsia"/>
      </w:rPr>
    </w:lvl>
    <w:lvl w:ilvl="3" w:tentative="0">
      <w:start w:val="1"/>
      <w:numFmt w:val="decimal"/>
      <w:lvlText w:val="%4."/>
      <w:lvlJc w:val="left"/>
      <w:pPr>
        <w:ind w:left="3240" w:hanging="360"/>
      </w:pPr>
      <w:rPr>
        <w:rFonts w:hint="eastAsia"/>
      </w:rPr>
    </w:lvl>
    <w:lvl w:ilvl="4" w:tentative="0">
      <w:start w:val="1"/>
      <w:numFmt w:val="lowerLetter"/>
      <w:lvlText w:val="%5."/>
      <w:lvlJc w:val="left"/>
      <w:pPr>
        <w:ind w:left="3960" w:hanging="360"/>
      </w:pPr>
      <w:rPr>
        <w:rFonts w:hint="eastAsia"/>
      </w:rPr>
    </w:lvl>
    <w:lvl w:ilvl="5" w:tentative="0">
      <w:start w:val="1"/>
      <w:numFmt w:val="lowerRoman"/>
      <w:lvlText w:val="%6."/>
      <w:lvlJc w:val="right"/>
      <w:pPr>
        <w:ind w:left="4680" w:hanging="180"/>
      </w:pPr>
      <w:rPr>
        <w:rFonts w:hint="eastAsia"/>
      </w:rPr>
    </w:lvl>
    <w:lvl w:ilvl="6" w:tentative="0">
      <w:start w:val="1"/>
      <w:numFmt w:val="decimal"/>
      <w:lvlText w:val="%7."/>
      <w:lvlJc w:val="left"/>
      <w:pPr>
        <w:ind w:left="5400" w:hanging="360"/>
      </w:pPr>
      <w:rPr>
        <w:rFonts w:hint="eastAsia"/>
      </w:rPr>
    </w:lvl>
    <w:lvl w:ilvl="7" w:tentative="0">
      <w:start w:val="1"/>
      <w:numFmt w:val="lowerLetter"/>
      <w:lvlText w:val="%8."/>
      <w:lvlJc w:val="left"/>
      <w:pPr>
        <w:ind w:left="6120" w:hanging="360"/>
      </w:pPr>
      <w:rPr>
        <w:rFonts w:hint="eastAsia"/>
      </w:rPr>
    </w:lvl>
    <w:lvl w:ilvl="8" w:tentative="0">
      <w:start w:val="1"/>
      <w:numFmt w:val="lowerRoman"/>
      <w:lvlText w:val="%9."/>
      <w:lvlJc w:val="right"/>
      <w:pPr>
        <w:ind w:left="6840" w:hanging="180"/>
      </w:pPr>
      <w:rPr>
        <w:rFonts w:hint="eastAsia"/>
      </w:rPr>
    </w:lvl>
  </w:abstractNum>
  <w:abstractNum w:abstractNumId="9">
    <w:nsid w:val="422B3F28"/>
    <w:multiLevelType w:val="multilevel"/>
    <w:tmpl w:val="422B3F2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0">
    <w:nsid w:val="43207260"/>
    <w:multiLevelType w:val="multilevel"/>
    <w:tmpl w:val="432072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4633FEC"/>
    <w:multiLevelType w:val="multilevel"/>
    <w:tmpl w:val="44633FE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4AE9BB85"/>
    <w:multiLevelType w:val="singleLevel"/>
    <w:tmpl w:val="4AE9BB85"/>
    <w:lvl w:ilvl="0" w:tentative="0">
      <w:start w:val="1"/>
      <w:numFmt w:val="bullet"/>
      <w:lvlText w:val=""/>
      <w:lvlJc w:val="left"/>
      <w:pPr>
        <w:tabs>
          <w:tab w:val="left" w:pos="420"/>
        </w:tabs>
        <w:ind w:left="840" w:hanging="420"/>
      </w:pPr>
      <w:rPr>
        <w:rFonts w:hint="default" w:ascii="Wingdings" w:hAnsi="Wingdings"/>
      </w:rPr>
    </w:lvl>
  </w:abstractNum>
  <w:abstractNum w:abstractNumId="13">
    <w:nsid w:val="509F23BD"/>
    <w:multiLevelType w:val="multilevel"/>
    <w:tmpl w:val="509F23B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53214E0D"/>
    <w:multiLevelType w:val="multilevel"/>
    <w:tmpl w:val="53214E0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5542035F"/>
    <w:multiLevelType w:val="multilevel"/>
    <w:tmpl w:val="5542035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6">
    <w:nsid w:val="55B7AFAF"/>
    <w:multiLevelType w:val="singleLevel"/>
    <w:tmpl w:val="55B7AFAF"/>
    <w:lvl w:ilvl="0" w:tentative="0">
      <w:start w:val="1"/>
      <w:numFmt w:val="bullet"/>
      <w:lvlText w:val=""/>
      <w:lvlJc w:val="left"/>
      <w:pPr>
        <w:tabs>
          <w:tab w:val="left" w:pos="420"/>
        </w:tabs>
        <w:ind w:left="840" w:hanging="420"/>
      </w:pPr>
      <w:rPr>
        <w:rFonts w:hint="default" w:ascii="Wingdings" w:hAnsi="Wingdings"/>
      </w:rPr>
    </w:lvl>
  </w:abstractNum>
  <w:abstractNum w:abstractNumId="17">
    <w:nsid w:val="6FAA2EB1"/>
    <w:multiLevelType w:val="multilevel"/>
    <w:tmpl w:val="6FAA2EB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8">
    <w:nsid w:val="717863A4"/>
    <w:multiLevelType w:val="multilevel"/>
    <w:tmpl w:val="717863A4"/>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9"/>
  </w:num>
  <w:num w:numId="3">
    <w:abstractNumId w:val="8"/>
  </w:num>
  <w:num w:numId="4">
    <w:abstractNumId w:val="5"/>
  </w:num>
  <w:num w:numId="5">
    <w:abstractNumId w:val="10"/>
  </w:num>
  <w:num w:numId="6">
    <w:abstractNumId w:val="13"/>
  </w:num>
  <w:num w:numId="7">
    <w:abstractNumId w:val="14"/>
  </w:num>
  <w:num w:numId="8">
    <w:abstractNumId w:val="4"/>
  </w:num>
  <w:num w:numId="9">
    <w:abstractNumId w:val="3"/>
  </w:num>
  <w:num w:numId="10">
    <w:abstractNumId w:val="7"/>
  </w:num>
  <w:num w:numId="11">
    <w:abstractNumId w:val="6"/>
  </w:num>
  <w:num w:numId="12">
    <w:abstractNumId w:val="15"/>
  </w:num>
  <w:num w:numId="13">
    <w:abstractNumId w:val="11"/>
  </w:num>
  <w:num w:numId="14">
    <w:abstractNumId w:val="16"/>
  </w:num>
  <w:num w:numId="15">
    <w:abstractNumId w:val="0"/>
  </w:num>
  <w:num w:numId="16">
    <w:abstractNumId w:val="18"/>
  </w:num>
  <w:num w:numId="17">
    <w:abstractNumId w:val="12"/>
  </w:num>
  <w:num w:numId="18">
    <w:abstractNumId w:val="1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32"/>
    <w:rsid w:val="005C20A7"/>
    <w:rsid w:val="005C25A7"/>
    <w:rsid w:val="005C286F"/>
    <w:rsid w:val="005C2B7C"/>
    <w:rsid w:val="005C2CF7"/>
    <w:rsid w:val="005C2F7E"/>
    <w:rsid w:val="005C306F"/>
    <w:rsid w:val="005C3330"/>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07"/>
    <w:rsid w:val="006B4A8E"/>
    <w:rsid w:val="006B4AF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CCD"/>
    <w:rsid w:val="007A0F76"/>
    <w:rsid w:val="007A111A"/>
    <w:rsid w:val="007A15A9"/>
    <w:rsid w:val="007A169F"/>
    <w:rsid w:val="007A1821"/>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99E"/>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109A"/>
    <w:rsid w:val="009F1374"/>
    <w:rsid w:val="009F13F1"/>
    <w:rsid w:val="009F1722"/>
    <w:rsid w:val="009F175F"/>
    <w:rsid w:val="009F18BA"/>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F0E"/>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D342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46AC"/>
    <w:rsid w:val="01855A2F"/>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A12BC"/>
    <w:rsid w:val="023A7E40"/>
    <w:rsid w:val="023B1EEB"/>
    <w:rsid w:val="023B28B4"/>
    <w:rsid w:val="023D69A0"/>
    <w:rsid w:val="023F46B5"/>
    <w:rsid w:val="02410A4C"/>
    <w:rsid w:val="02431905"/>
    <w:rsid w:val="024470EE"/>
    <w:rsid w:val="024518A8"/>
    <w:rsid w:val="024D3362"/>
    <w:rsid w:val="02525FDE"/>
    <w:rsid w:val="02541C6A"/>
    <w:rsid w:val="025570C2"/>
    <w:rsid w:val="02566964"/>
    <w:rsid w:val="02572AC2"/>
    <w:rsid w:val="0258068C"/>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5AD4"/>
    <w:rsid w:val="028E5CAB"/>
    <w:rsid w:val="028F4EA5"/>
    <w:rsid w:val="029002E5"/>
    <w:rsid w:val="029C4A47"/>
    <w:rsid w:val="02A91846"/>
    <w:rsid w:val="02AA0975"/>
    <w:rsid w:val="02B13762"/>
    <w:rsid w:val="02B16CDA"/>
    <w:rsid w:val="02B2472A"/>
    <w:rsid w:val="02B26CE8"/>
    <w:rsid w:val="02BA5B1F"/>
    <w:rsid w:val="02BF6AE2"/>
    <w:rsid w:val="02C369A6"/>
    <w:rsid w:val="02C51CD5"/>
    <w:rsid w:val="02C56D21"/>
    <w:rsid w:val="02C81E79"/>
    <w:rsid w:val="02CE2BA4"/>
    <w:rsid w:val="02D0642C"/>
    <w:rsid w:val="02D127EF"/>
    <w:rsid w:val="02D3066A"/>
    <w:rsid w:val="02D47EB6"/>
    <w:rsid w:val="02D52216"/>
    <w:rsid w:val="02D57C10"/>
    <w:rsid w:val="02D85F39"/>
    <w:rsid w:val="02E00810"/>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61A38"/>
    <w:rsid w:val="03273DA2"/>
    <w:rsid w:val="032A509F"/>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BF0371"/>
    <w:rsid w:val="03C5452E"/>
    <w:rsid w:val="03C74561"/>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769C3"/>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A45AE"/>
    <w:rsid w:val="045B002B"/>
    <w:rsid w:val="045C42BD"/>
    <w:rsid w:val="045C6B01"/>
    <w:rsid w:val="04616CCB"/>
    <w:rsid w:val="046B7F0E"/>
    <w:rsid w:val="046D380D"/>
    <w:rsid w:val="046F363B"/>
    <w:rsid w:val="0470177E"/>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C40A6"/>
    <w:rsid w:val="04AD4B8B"/>
    <w:rsid w:val="04AD6D76"/>
    <w:rsid w:val="04B471D7"/>
    <w:rsid w:val="04B52053"/>
    <w:rsid w:val="04B6096F"/>
    <w:rsid w:val="04B70BE9"/>
    <w:rsid w:val="04B7478B"/>
    <w:rsid w:val="04BE27CE"/>
    <w:rsid w:val="04BF64DB"/>
    <w:rsid w:val="04C33D85"/>
    <w:rsid w:val="04C3481C"/>
    <w:rsid w:val="04C40B72"/>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645B"/>
    <w:rsid w:val="05E51DC0"/>
    <w:rsid w:val="05E6321E"/>
    <w:rsid w:val="05E80906"/>
    <w:rsid w:val="05EB44AF"/>
    <w:rsid w:val="05EF38C1"/>
    <w:rsid w:val="05F04C76"/>
    <w:rsid w:val="05F23FCE"/>
    <w:rsid w:val="05F4677F"/>
    <w:rsid w:val="05FC1F8D"/>
    <w:rsid w:val="06021705"/>
    <w:rsid w:val="06030997"/>
    <w:rsid w:val="0607348B"/>
    <w:rsid w:val="06087B12"/>
    <w:rsid w:val="06094354"/>
    <w:rsid w:val="060A1D09"/>
    <w:rsid w:val="060A546B"/>
    <w:rsid w:val="060A57DB"/>
    <w:rsid w:val="060B07BE"/>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23400"/>
    <w:rsid w:val="0642499B"/>
    <w:rsid w:val="06434F8E"/>
    <w:rsid w:val="064469F8"/>
    <w:rsid w:val="06494B98"/>
    <w:rsid w:val="06512DD0"/>
    <w:rsid w:val="06520157"/>
    <w:rsid w:val="06556880"/>
    <w:rsid w:val="06594ACC"/>
    <w:rsid w:val="065E23F5"/>
    <w:rsid w:val="065F0CB5"/>
    <w:rsid w:val="066625CB"/>
    <w:rsid w:val="06662E0F"/>
    <w:rsid w:val="06671A53"/>
    <w:rsid w:val="06673295"/>
    <w:rsid w:val="0668138B"/>
    <w:rsid w:val="06686D4D"/>
    <w:rsid w:val="067458C8"/>
    <w:rsid w:val="06787FB1"/>
    <w:rsid w:val="067A0082"/>
    <w:rsid w:val="067C70F8"/>
    <w:rsid w:val="067E49F6"/>
    <w:rsid w:val="067F3FA8"/>
    <w:rsid w:val="068F2552"/>
    <w:rsid w:val="069142D7"/>
    <w:rsid w:val="069154D1"/>
    <w:rsid w:val="069202AE"/>
    <w:rsid w:val="06973A22"/>
    <w:rsid w:val="069A134E"/>
    <w:rsid w:val="069C340F"/>
    <w:rsid w:val="069D55D6"/>
    <w:rsid w:val="069F7B0E"/>
    <w:rsid w:val="06A12BB8"/>
    <w:rsid w:val="06A354BF"/>
    <w:rsid w:val="06A52641"/>
    <w:rsid w:val="06A56623"/>
    <w:rsid w:val="06A6028D"/>
    <w:rsid w:val="06A67127"/>
    <w:rsid w:val="06A6721A"/>
    <w:rsid w:val="06A903D1"/>
    <w:rsid w:val="06AB7BCF"/>
    <w:rsid w:val="06AF2646"/>
    <w:rsid w:val="06B0095A"/>
    <w:rsid w:val="06B277C2"/>
    <w:rsid w:val="06B36660"/>
    <w:rsid w:val="06B36F46"/>
    <w:rsid w:val="06B827CC"/>
    <w:rsid w:val="06BD4549"/>
    <w:rsid w:val="06BF4E14"/>
    <w:rsid w:val="06C16B51"/>
    <w:rsid w:val="06C40DFB"/>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16DC9"/>
    <w:rsid w:val="06F435BD"/>
    <w:rsid w:val="06F55AAE"/>
    <w:rsid w:val="06F8549F"/>
    <w:rsid w:val="06FA4F05"/>
    <w:rsid w:val="06FC1F4A"/>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963CE1"/>
    <w:rsid w:val="07996370"/>
    <w:rsid w:val="079B1264"/>
    <w:rsid w:val="079D08EF"/>
    <w:rsid w:val="07A23DBE"/>
    <w:rsid w:val="07A51428"/>
    <w:rsid w:val="07A5163C"/>
    <w:rsid w:val="07A64C98"/>
    <w:rsid w:val="07A71476"/>
    <w:rsid w:val="07A94019"/>
    <w:rsid w:val="07AB3A30"/>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A0EB1"/>
    <w:rsid w:val="083B4289"/>
    <w:rsid w:val="083B7813"/>
    <w:rsid w:val="083C682C"/>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4555"/>
    <w:rsid w:val="08B37BFE"/>
    <w:rsid w:val="08B97EF6"/>
    <w:rsid w:val="08BC0E13"/>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04EEB"/>
    <w:rsid w:val="09121B95"/>
    <w:rsid w:val="09167DC6"/>
    <w:rsid w:val="0918650F"/>
    <w:rsid w:val="092141FC"/>
    <w:rsid w:val="09233A88"/>
    <w:rsid w:val="09256F9F"/>
    <w:rsid w:val="0926699A"/>
    <w:rsid w:val="092A6DE7"/>
    <w:rsid w:val="092D43FA"/>
    <w:rsid w:val="092D4F1C"/>
    <w:rsid w:val="09336891"/>
    <w:rsid w:val="093677EB"/>
    <w:rsid w:val="093949AD"/>
    <w:rsid w:val="093A5A26"/>
    <w:rsid w:val="093B5A8B"/>
    <w:rsid w:val="093D0096"/>
    <w:rsid w:val="093D5FDF"/>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2A71"/>
    <w:rsid w:val="0A346F85"/>
    <w:rsid w:val="0A3955E8"/>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1DF2"/>
    <w:rsid w:val="0AF34787"/>
    <w:rsid w:val="0AF46C3F"/>
    <w:rsid w:val="0AF628A9"/>
    <w:rsid w:val="0AF9254A"/>
    <w:rsid w:val="0AFB4861"/>
    <w:rsid w:val="0AFD1EB9"/>
    <w:rsid w:val="0AFE08A2"/>
    <w:rsid w:val="0AFE5D66"/>
    <w:rsid w:val="0AFF1F70"/>
    <w:rsid w:val="0B042734"/>
    <w:rsid w:val="0B0E13D6"/>
    <w:rsid w:val="0B0F2142"/>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26AD7"/>
    <w:rsid w:val="0B447488"/>
    <w:rsid w:val="0B455738"/>
    <w:rsid w:val="0B461A38"/>
    <w:rsid w:val="0B4B49C7"/>
    <w:rsid w:val="0B4C214A"/>
    <w:rsid w:val="0B5527AB"/>
    <w:rsid w:val="0B594D3B"/>
    <w:rsid w:val="0B5D3445"/>
    <w:rsid w:val="0B61477B"/>
    <w:rsid w:val="0B645FBC"/>
    <w:rsid w:val="0B65171B"/>
    <w:rsid w:val="0B6B272A"/>
    <w:rsid w:val="0B6D1F77"/>
    <w:rsid w:val="0B723D3E"/>
    <w:rsid w:val="0B754ECD"/>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1232A8"/>
    <w:rsid w:val="0C137BF8"/>
    <w:rsid w:val="0C1847CA"/>
    <w:rsid w:val="0C1B0491"/>
    <w:rsid w:val="0C1B4521"/>
    <w:rsid w:val="0C1D14FE"/>
    <w:rsid w:val="0C2343CE"/>
    <w:rsid w:val="0C287ECF"/>
    <w:rsid w:val="0C293F7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475E0"/>
    <w:rsid w:val="0D255EB8"/>
    <w:rsid w:val="0D297DF3"/>
    <w:rsid w:val="0D2B3E52"/>
    <w:rsid w:val="0D2C6BEA"/>
    <w:rsid w:val="0D2C779E"/>
    <w:rsid w:val="0D361C4E"/>
    <w:rsid w:val="0D385411"/>
    <w:rsid w:val="0D3A2D89"/>
    <w:rsid w:val="0D3D47F7"/>
    <w:rsid w:val="0D455C6C"/>
    <w:rsid w:val="0D483CBE"/>
    <w:rsid w:val="0D4B0120"/>
    <w:rsid w:val="0D4C2168"/>
    <w:rsid w:val="0D5235A5"/>
    <w:rsid w:val="0D5958B3"/>
    <w:rsid w:val="0D5B27B9"/>
    <w:rsid w:val="0D5D1B45"/>
    <w:rsid w:val="0D5D6F30"/>
    <w:rsid w:val="0D6712AB"/>
    <w:rsid w:val="0D672C88"/>
    <w:rsid w:val="0D6924B4"/>
    <w:rsid w:val="0D695B96"/>
    <w:rsid w:val="0D6B3AC1"/>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E5F19"/>
    <w:rsid w:val="0DA21DB4"/>
    <w:rsid w:val="0DAD1E24"/>
    <w:rsid w:val="0DAE5B0E"/>
    <w:rsid w:val="0DB05826"/>
    <w:rsid w:val="0DB14B01"/>
    <w:rsid w:val="0DB32D06"/>
    <w:rsid w:val="0DB42335"/>
    <w:rsid w:val="0DB46ABF"/>
    <w:rsid w:val="0DB66B64"/>
    <w:rsid w:val="0DB852CD"/>
    <w:rsid w:val="0DB871F4"/>
    <w:rsid w:val="0DC75B70"/>
    <w:rsid w:val="0DC8160A"/>
    <w:rsid w:val="0DC93981"/>
    <w:rsid w:val="0DCA1C2D"/>
    <w:rsid w:val="0DCA5B2E"/>
    <w:rsid w:val="0DD339D9"/>
    <w:rsid w:val="0DD51E4A"/>
    <w:rsid w:val="0DD568C6"/>
    <w:rsid w:val="0DD75970"/>
    <w:rsid w:val="0DD823F8"/>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55968"/>
    <w:rsid w:val="0EAA73B4"/>
    <w:rsid w:val="0EB043E6"/>
    <w:rsid w:val="0EB0495D"/>
    <w:rsid w:val="0EB21A5E"/>
    <w:rsid w:val="0EB255FF"/>
    <w:rsid w:val="0EB66E2D"/>
    <w:rsid w:val="0EB73A87"/>
    <w:rsid w:val="0EB96A82"/>
    <w:rsid w:val="0EBC12A1"/>
    <w:rsid w:val="0EBC2A36"/>
    <w:rsid w:val="0EC21AFD"/>
    <w:rsid w:val="0EC66F72"/>
    <w:rsid w:val="0ECB3000"/>
    <w:rsid w:val="0ECC276B"/>
    <w:rsid w:val="0ECC4567"/>
    <w:rsid w:val="0ECF7C65"/>
    <w:rsid w:val="0ED20EA8"/>
    <w:rsid w:val="0ED32F6C"/>
    <w:rsid w:val="0ED7249D"/>
    <w:rsid w:val="0ED84546"/>
    <w:rsid w:val="0EDB0588"/>
    <w:rsid w:val="0EDB1B85"/>
    <w:rsid w:val="0EE13C95"/>
    <w:rsid w:val="0EE2623B"/>
    <w:rsid w:val="0EE40451"/>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24DFB"/>
    <w:rsid w:val="0F2362B9"/>
    <w:rsid w:val="0F2566D6"/>
    <w:rsid w:val="0F297188"/>
    <w:rsid w:val="0F334F38"/>
    <w:rsid w:val="0F375FA0"/>
    <w:rsid w:val="0F3823EB"/>
    <w:rsid w:val="0F390E3D"/>
    <w:rsid w:val="0F3922C0"/>
    <w:rsid w:val="0F3B0B76"/>
    <w:rsid w:val="0F3B729A"/>
    <w:rsid w:val="0F3C4735"/>
    <w:rsid w:val="0F3D04E9"/>
    <w:rsid w:val="0F440231"/>
    <w:rsid w:val="0F444E15"/>
    <w:rsid w:val="0F477871"/>
    <w:rsid w:val="0F477973"/>
    <w:rsid w:val="0F4B3454"/>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802EA"/>
    <w:rsid w:val="0FC2032D"/>
    <w:rsid w:val="0FC37510"/>
    <w:rsid w:val="0FC407AB"/>
    <w:rsid w:val="0FC55DD4"/>
    <w:rsid w:val="0FC57255"/>
    <w:rsid w:val="0FCA472B"/>
    <w:rsid w:val="0FCB5A7E"/>
    <w:rsid w:val="0FCB5DA8"/>
    <w:rsid w:val="0FCF6F78"/>
    <w:rsid w:val="0FD0761B"/>
    <w:rsid w:val="0FD20A54"/>
    <w:rsid w:val="0FDC7CA9"/>
    <w:rsid w:val="0FDD64B4"/>
    <w:rsid w:val="0FDF2015"/>
    <w:rsid w:val="0FE3562C"/>
    <w:rsid w:val="0FEA16AD"/>
    <w:rsid w:val="0FEA2108"/>
    <w:rsid w:val="0FEC32E3"/>
    <w:rsid w:val="0FEC50FD"/>
    <w:rsid w:val="0FEE5F63"/>
    <w:rsid w:val="0FF01A52"/>
    <w:rsid w:val="0FF23E08"/>
    <w:rsid w:val="0FF864B2"/>
    <w:rsid w:val="0FFF1E40"/>
    <w:rsid w:val="100175BA"/>
    <w:rsid w:val="1002491E"/>
    <w:rsid w:val="10051154"/>
    <w:rsid w:val="1006116B"/>
    <w:rsid w:val="10082347"/>
    <w:rsid w:val="100B3118"/>
    <w:rsid w:val="100C62B7"/>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C493E"/>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3409D"/>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208AE"/>
    <w:rsid w:val="10E4562F"/>
    <w:rsid w:val="10E6673F"/>
    <w:rsid w:val="10E74393"/>
    <w:rsid w:val="10E80D8D"/>
    <w:rsid w:val="10E96507"/>
    <w:rsid w:val="10ED79A2"/>
    <w:rsid w:val="10EE5DD1"/>
    <w:rsid w:val="10EF19E4"/>
    <w:rsid w:val="10EF5F16"/>
    <w:rsid w:val="10F046AC"/>
    <w:rsid w:val="10F11BFF"/>
    <w:rsid w:val="11032AF5"/>
    <w:rsid w:val="110A5B61"/>
    <w:rsid w:val="110C2966"/>
    <w:rsid w:val="11101151"/>
    <w:rsid w:val="11121ABB"/>
    <w:rsid w:val="1112714C"/>
    <w:rsid w:val="11130EB6"/>
    <w:rsid w:val="1115292B"/>
    <w:rsid w:val="11173879"/>
    <w:rsid w:val="11174D87"/>
    <w:rsid w:val="111A6A63"/>
    <w:rsid w:val="111E2C7A"/>
    <w:rsid w:val="1121026D"/>
    <w:rsid w:val="1122085E"/>
    <w:rsid w:val="11234BC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457F6"/>
    <w:rsid w:val="11870030"/>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F27A9"/>
    <w:rsid w:val="12053DDA"/>
    <w:rsid w:val="12094E47"/>
    <w:rsid w:val="120A16E2"/>
    <w:rsid w:val="12117961"/>
    <w:rsid w:val="1212107A"/>
    <w:rsid w:val="1221024E"/>
    <w:rsid w:val="12254724"/>
    <w:rsid w:val="12254B65"/>
    <w:rsid w:val="12263966"/>
    <w:rsid w:val="12284570"/>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8F63EC"/>
    <w:rsid w:val="12906A06"/>
    <w:rsid w:val="12956BE3"/>
    <w:rsid w:val="129768BA"/>
    <w:rsid w:val="129C4B1E"/>
    <w:rsid w:val="12A13BDA"/>
    <w:rsid w:val="12A142E5"/>
    <w:rsid w:val="12A40193"/>
    <w:rsid w:val="12A57585"/>
    <w:rsid w:val="12A8272F"/>
    <w:rsid w:val="12AA7C2D"/>
    <w:rsid w:val="12AC2445"/>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5D36C3"/>
    <w:rsid w:val="1363772A"/>
    <w:rsid w:val="13645B2A"/>
    <w:rsid w:val="13646D5E"/>
    <w:rsid w:val="13667089"/>
    <w:rsid w:val="13691B25"/>
    <w:rsid w:val="1382119A"/>
    <w:rsid w:val="13834E54"/>
    <w:rsid w:val="138C3BB4"/>
    <w:rsid w:val="138D1B3C"/>
    <w:rsid w:val="138E21E8"/>
    <w:rsid w:val="138F1AA2"/>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859C6"/>
    <w:rsid w:val="13CC04F7"/>
    <w:rsid w:val="13D0036A"/>
    <w:rsid w:val="13D43BD6"/>
    <w:rsid w:val="13D74838"/>
    <w:rsid w:val="13D9483E"/>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06043"/>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1138A"/>
    <w:rsid w:val="142200E5"/>
    <w:rsid w:val="1426080A"/>
    <w:rsid w:val="14264E47"/>
    <w:rsid w:val="14284AF8"/>
    <w:rsid w:val="142E1718"/>
    <w:rsid w:val="14321BD7"/>
    <w:rsid w:val="143533E9"/>
    <w:rsid w:val="14353A7B"/>
    <w:rsid w:val="14390CA3"/>
    <w:rsid w:val="143B3472"/>
    <w:rsid w:val="143D3421"/>
    <w:rsid w:val="1443416E"/>
    <w:rsid w:val="144546F2"/>
    <w:rsid w:val="14493FB1"/>
    <w:rsid w:val="144C69BB"/>
    <w:rsid w:val="144D7A2D"/>
    <w:rsid w:val="144F3A15"/>
    <w:rsid w:val="144F6AD5"/>
    <w:rsid w:val="145075DE"/>
    <w:rsid w:val="145437A3"/>
    <w:rsid w:val="145626BF"/>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A21257"/>
    <w:rsid w:val="14A5629F"/>
    <w:rsid w:val="14AD5664"/>
    <w:rsid w:val="14B04A2F"/>
    <w:rsid w:val="14B1008D"/>
    <w:rsid w:val="14B3042E"/>
    <w:rsid w:val="14B63D6A"/>
    <w:rsid w:val="14B872BA"/>
    <w:rsid w:val="14BF672C"/>
    <w:rsid w:val="14C209A7"/>
    <w:rsid w:val="14C453B3"/>
    <w:rsid w:val="14C569D9"/>
    <w:rsid w:val="14C65E96"/>
    <w:rsid w:val="14C9431F"/>
    <w:rsid w:val="14CA27FE"/>
    <w:rsid w:val="14D031DA"/>
    <w:rsid w:val="14D1156B"/>
    <w:rsid w:val="14D1229A"/>
    <w:rsid w:val="14D141D7"/>
    <w:rsid w:val="14D5012B"/>
    <w:rsid w:val="14D906D3"/>
    <w:rsid w:val="14E47191"/>
    <w:rsid w:val="14E9786D"/>
    <w:rsid w:val="14EB5419"/>
    <w:rsid w:val="14EC3E5C"/>
    <w:rsid w:val="14ED0A8C"/>
    <w:rsid w:val="14ED7C9B"/>
    <w:rsid w:val="14F02BBD"/>
    <w:rsid w:val="14F41E3B"/>
    <w:rsid w:val="14FA4CD9"/>
    <w:rsid w:val="14FB5F43"/>
    <w:rsid w:val="15023202"/>
    <w:rsid w:val="1504739B"/>
    <w:rsid w:val="150721FB"/>
    <w:rsid w:val="150A1882"/>
    <w:rsid w:val="150D3887"/>
    <w:rsid w:val="15100FA6"/>
    <w:rsid w:val="15122163"/>
    <w:rsid w:val="1513479B"/>
    <w:rsid w:val="151677A4"/>
    <w:rsid w:val="151D2BFF"/>
    <w:rsid w:val="151E65DD"/>
    <w:rsid w:val="151F6DBF"/>
    <w:rsid w:val="1521576A"/>
    <w:rsid w:val="15231E2E"/>
    <w:rsid w:val="15262908"/>
    <w:rsid w:val="1529226A"/>
    <w:rsid w:val="152F620B"/>
    <w:rsid w:val="153868CE"/>
    <w:rsid w:val="15387A07"/>
    <w:rsid w:val="153A5FE7"/>
    <w:rsid w:val="153C1F3A"/>
    <w:rsid w:val="153D0A90"/>
    <w:rsid w:val="153D638E"/>
    <w:rsid w:val="153E4B6C"/>
    <w:rsid w:val="15413E16"/>
    <w:rsid w:val="15422CD4"/>
    <w:rsid w:val="15424AED"/>
    <w:rsid w:val="15494BB0"/>
    <w:rsid w:val="154A5317"/>
    <w:rsid w:val="154D3BE2"/>
    <w:rsid w:val="15536F18"/>
    <w:rsid w:val="155D4772"/>
    <w:rsid w:val="1560174E"/>
    <w:rsid w:val="156103E7"/>
    <w:rsid w:val="15635D03"/>
    <w:rsid w:val="15703F98"/>
    <w:rsid w:val="15707C42"/>
    <w:rsid w:val="15746741"/>
    <w:rsid w:val="157723EB"/>
    <w:rsid w:val="157876E1"/>
    <w:rsid w:val="15792A24"/>
    <w:rsid w:val="157C1BBE"/>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63099"/>
    <w:rsid w:val="15A970F2"/>
    <w:rsid w:val="15AA7715"/>
    <w:rsid w:val="15AC1F1E"/>
    <w:rsid w:val="15B02021"/>
    <w:rsid w:val="15B274DC"/>
    <w:rsid w:val="15B51F07"/>
    <w:rsid w:val="15B64890"/>
    <w:rsid w:val="15B7100A"/>
    <w:rsid w:val="15B80504"/>
    <w:rsid w:val="15BB4370"/>
    <w:rsid w:val="15BB7F8A"/>
    <w:rsid w:val="15BE6AB4"/>
    <w:rsid w:val="15C17399"/>
    <w:rsid w:val="15C532BF"/>
    <w:rsid w:val="15C616BD"/>
    <w:rsid w:val="15CA1544"/>
    <w:rsid w:val="15CB24A5"/>
    <w:rsid w:val="15CB56F8"/>
    <w:rsid w:val="15D0130C"/>
    <w:rsid w:val="15D21BE6"/>
    <w:rsid w:val="15D2523F"/>
    <w:rsid w:val="15D61E56"/>
    <w:rsid w:val="15DC216E"/>
    <w:rsid w:val="15DD2EBE"/>
    <w:rsid w:val="15DD7FCF"/>
    <w:rsid w:val="15E0628C"/>
    <w:rsid w:val="15E247C1"/>
    <w:rsid w:val="15E4589D"/>
    <w:rsid w:val="15E577C7"/>
    <w:rsid w:val="15E821F0"/>
    <w:rsid w:val="15EA10AD"/>
    <w:rsid w:val="15EB18DC"/>
    <w:rsid w:val="15F04781"/>
    <w:rsid w:val="15F92C7D"/>
    <w:rsid w:val="15FF2443"/>
    <w:rsid w:val="15FF4438"/>
    <w:rsid w:val="16025032"/>
    <w:rsid w:val="16037314"/>
    <w:rsid w:val="16053669"/>
    <w:rsid w:val="16085527"/>
    <w:rsid w:val="160856FA"/>
    <w:rsid w:val="161409A3"/>
    <w:rsid w:val="16223FCC"/>
    <w:rsid w:val="16293050"/>
    <w:rsid w:val="16314558"/>
    <w:rsid w:val="16343187"/>
    <w:rsid w:val="163E0BDC"/>
    <w:rsid w:val="164129F4"/>
    <w:rsid w:val="164219DA"/>
    <w:rsid w:val="16446CE1"/>
    <w:rsid w:val="16463ED1"/>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B1464"/>
    <w:rsid w:val="168E0B29"/>
    <w:rsid w:val="169706AE"/>
    <w:rsid w:val="16971202"/>
    <w:rsid w:val="1698607C"/>
    <w:rsid w:val="169D4DEC"/>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E2ACA"/>
    <w:rsid w:val="17422E25"/>
    <w:rsid w:val="17423214"/>
    <w:rsid w:val="17440F4E"/>
    <w:rsid w:val="17461694"/>
    <w:rsid w:val="17485D50"/>
    <w:rsid w:val="174903F6"/>
    <w:rsid w:val="174D4326"/>
    <w:rsid w:val="17503548"/>
    <w:rsid w:val="17546AD9"/>
    <w:rsid w:val="175E591B"/>
    <w:rsid w:val="17620AE6"/>
    <w:rsid w:val="1764322A"/>
    <w:rsid w:val="1764531C"/>
    <w:rsid w:val="17655ABA"/>
    <w:rsid w:val="176642AB"/>
    <w:rsid w:val="17670FDD"/>
    <w:rsid w:val="176B1B4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51A6"/>
    <w:rsid w:val="18672953"/>
    <w:rsid w:val="18697C3A"/>
    <w:rsid w:val="186A4932"/>
    <w:rsid w:val="186B5EAE"/>
    <w:rsid w:val="186C29AA"/>
    <w:rsid w:val="186E5FD9"/>
    <w:rsid w:val="18701469"/>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92917"/>
    <w:rsid w:val="18FA727E"/>
    <w:rsid w:val="190071DD"/>
    <w:rsid w:val="19010A47"/>
    <w:rsid w:val="19015F39"/>
    <w:rsid w:val="190201A1"/>
    <w:rsid w:val="19052326"/>
    <w:rsid w:val="19087E5A"/>
    <w:rsid w:val="190B5982"/>
    <w:rsid w:val="190E24A2"/>
    <w:rsid w:val="190F1397"/>
    <w:rsid w:val="190F246E"/>
    <w:rsid w:val="1910107B"/>
    <w:rsid w:val="191672E7"/>
    <w:rsid w:val="1922231E"/>
    <w:rsid w:val="1925257B"/>
    <w:rsid w:val="19285212"/>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D6271"/>
    <w:rsid w:val="19D03B31"/>
    <w:rsid w:val="19D83EBC"/>
    <w:rsid w:val="19DC2EF0"/>
    <w:rsid w:val="19E01BE1"/>
    <w:rsid w:val="19E27436"/>
    <w:rsid w:val="19E73070"/>
    <w:rsid w:val="19E90F2D"/>
    <w:rsid w:val="19EA250B"/>
    <w:rsid w:val="19ED7B68"/>
    <w:rsid w:val="19EE122F"/>
    <w:rsid w:val="19EE54F7"/>
    <w:rsid w:val="19EF05E2"/>
    <w:rsid w:val="19F057EC"/>
    <w:rsid w:val="19F34D9A"/>
    <w:rsid w:val="19F451CF"/>
    <w:rsid w:val="19FA5943"/>
    <w:rsid w:val="1A020CAC"/>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76BE"/>
    <w:rsid w:val="1A3D274F"/>
    <w:rsid w:val="1A3F4787"/>
    <w:rsid w:val="1A4243B2"/>
    <w:rsid w:val="1A4351F7"/>
    <w:rsid w:val="1A435BC2"/>
    <w:rsid w:val="1A4634DE"/>
    <w:rsid w:val="1A477904"/>
    <w:rsid w:val="1A4D3567"/>
    <w:rsid w:val="1A5576E1"/>
    <w:rsid w:val="1A574E8B"/>
    <w:rsid w:val="1A5B332D"/>
    <w:rsid w:val="1A5D418F"/>
    <w:rsid w:val="1A5E1696"/>
    <w:rsid w:val="1A605DAC"/>
    <w:rsid w:val="1A644E8B"/>
    <w:rsid w:val="1A6670AF"/>
    <w:rsid w:val="1A671279"/>
    <w:rsid w:val="1A713623"/>
    <w:rsid w:val="1A72738E"/>
    <w:rsid w:val="1A7401C9"/>
    <w:rsid w:val="1A746F7C"/>
    <w:rsid w:val="1A767810"/>
    <w:rsid w:val="1A7730FC"/>
    <w:rsid w:val="1A794088"/>
    <w:rsid w:val="1A795091"/>
    <w:rsid w:val="1A7C1335"/>
    <w:rsid w:val="1A7F4433"/>
    <w:rsid w:val="1A84713F"/>
    <w:rsid w:val="1A8616BD"/>
    <w:rsid w:val="1A864E70"/>
    <w:rsid w:val="1A891BA3"/>
    <w:rsid w:val="1A8B49C5"/>
    <w:rsid w:val="1A8D6D49"/>
    <w:rsid w:val="1A8F4F1E"/>
    <w:rsid w:val="1A901FBE"/>
    <w:rsid w:val="1A904E3C"/>
    <w:rsid w:val="1A907D69"/>
    <w:rsid w:val="1A981D7B"/>
    <w:rsid w:val="1A991640"/>
    <w:rsid w:val="1A9C1ED4"/>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D7490"/>
    <w:rsid w:val="1B3F232C"/>
    <w:rsid w:val="1B40255A"/>
    <w:rsid w:val="1B421FCA"/>
    <w:rsid w:val="1B435435"/>
    <w:rsid w:val="1B487E3D"/>
    <w:rsid w:val="1B5244B6"/>
    <w:rsid w:val="1B527FB6"/>
    <w:rsid w:val="1B55429F"/>
    <w:rsid w:val="1B5C4B10"/>
    <w:rsid w:val="1B5F774C"/>
    <w:rsid w:val="1B623C43"/>
    <w:rsid w:val="1B6661AC"/>
    <w:rsid w:val="1B6D3289"/>
    <w:rsid w:val="1B6F310C"/>
    <w:rsid w:val="1B71108F"/>
    <w:rsid w:val="1B7D6CAD"/>
    <w:rsid w:val="1B7E0DF5"/>
    <w:rsid w:val="1B7E34BD"/>
    <w:rsid w:val="1B8046D7"/>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30902"/>
    <w:rsid w:val="1BC42E8F"/>
    <w:rsid w:val="1BC64F9D"/>
    <w:rsid w:val="1BCB3253"/>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D5DF9"/>
    <w:rsid w:val="1BF00CF9"/>
    <w:rsid w:val="1BF52E62"/>
    <w:rsid w:val="1BF70226"/>
    <w:rsid w:val="1BF813CD"/>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34479"/>
    <w:rsid w:val="1C946042"/>
    <w:rsid w:val="1C973362"/>
    <w:rsid w:val="1C9A1338"/>
    <w:rsid w:val="1C9C1C3D"/>
    <w:rsid w:val="1C9D7804"/>
    <w:rsid w:val="1CA46AA4"/>
    <w:rsid w:val="1CA47480"/>
    <w:rsid w:val="1CA72CCC"/>
    <w:rsid w:val="1CA86F01"/>
    <w:rsid w:val="1CAA0938"/>
    <w:rsid w:val="1CAC364D"/>
    <w:rsid w:val="1CAC48C5"/>
    <w:rsid w:val="1CAF26D0"/>
    <w:rsid w:val="1CB05689"/>
    <w:rsid w:val="1CB148FF"/>
    <w:rsid w:val="1CB15744"/>
    <w:rsid w:val="1CB52689"/>
    <w:rsid w:val="1CB60AD5"/>
    <w:rsid w:val="1CB84ED0"/>
    <w:rsid w:val="1CBC1FFD"/>
    <w:rsid w:val="1CBD037E"/>
    <w:rsid w:val="1CC22612"/>
    <w:rsid w:val="1CC448CE"/>
    <w:rsid w:val="1CCB2C88"/>
    <w:rsid w:val="1CCE31C9"/>
    <w:rsid w:val="1CD16FC7"/>
    <w:rsid w:val="1CD46190"/>
    <w:rsid w:val="1CD7400B"/>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53CC9"/>
    <w:rsid w:val="1D1E65B8"/>
    <w:rsid w:val="1D1F0A85"/>
    <w:rsid w:val="1D1F5E42"/>
    <w:rsid w:val="1D210A77"/>
    <w:rsid w:val="1D222A1E"/>
    <w:rsid w:val="1D24539A"/>
    <w:rsid w:val="1D2939BE"/>
    <w:rsid w:val="1D2B0F93"/>
    <w:rsid w:val="1D2C04D0"/>
    <w:rsid w:val="1D2E65D9"/>
    <w:rsid w:val="1D2E7C7B"/>
    <w:rsid w:val="1D302600"/>
    <w:rsid w:val="1D302980"/>
    <w:rsid w:val="1D315EEC"/>
    <w:rsid w:val="1D316B5C"/>
    <w:rsid w:val="1D320508"/>
    <w:rsid w:val="1D322284"/>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A16E3"/>
    <w:rsid w:val="1DBF1E64"/>
    <w:rsid w:val="1DC1491C"/>
    <w:rsid w:val="1DC341EF"/>
    <w:rsid w:val="1DC555FD"/>
    <w:rsid w:val="1DC60F0D"/>
    <w:rsid w:val="1DCC31D5"/>
    <w:rsid w:val="1DD16DAA"/>
    <w:rsid w:val="1DD33028"/>
    <w:rsid w:val="1DD60645"/>
    <w:rsid w:val="1DD95E1B"/>
    <w:rsid w:val="1DE071F3"/>
    <w:rsid w:val="1DE25A01"/>
    <w:rsid w:val="1DE75947"/>
    <w:rsid w:val="1DE83579"/>
    <w:rsid w:val="1DED220F"/>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22944"/>
    <w:rsid w:val="1E132EEE"/>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D759C"/>
    <w:rsid w:val="1ECE1B03"/>
    <w:rsid w:val="1ECE723E"/>
    <w:rsid w:val="1ED47EAE"/>
    <w:rsid w:val="1ED55822"/>
    <w:rsid w:val="1EE133D1"/>
    <w:rsid w:val="1EE82B1F"/>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965C5"/>
    <w:rsid w:val="1F3F7CB8"/>
    <w:rsid w:val="1F436A7F"/>
    <w:rsid w:val="1F4377ED"/>
    <w:rsid w:val="1F4446D7"/>
    <w:rsid w:val="1F454DA9"/>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41F4D"/>
    <w:rsid w:val="1F764C52"/>
    <w:rsid w:val="1F796A42"/>
    <w:rsid w:val="1F7C64ED"/>
    <w:rsid w:val="1F802382"/>
    <w:rsid w:val="1F833875"/>
    <w:rsid w:val="1F864FF3"/>
    <w:rsid w:val="1F875566"/>
    <w:rsid w:val="1F8D205B"/>
    <w:rsid w:val="1F8E4E2E"/>
    <w:rsid w:val="1F927123"/>
    <w:rsid w:val="1F9A2894"/>
    <w:rsid w:val="1F9A4525"/>
    <w:rsid w:val="1F9A7DD3"/>
    <w:rsid w:val="1FA35CF7"/>
    <w:rsid w:val="1FA71D9E"/>
    <w:rsid w:val="1FAA54F7"/>
    <w:rsid w:val="1FB234B9"/>
    <w:rsid w:val="1FB506E2"/>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200044F3"/>
    <w:rsid w:val="20015673"/>
    <w:rsid w:val="20072690"/>
    <w:rsid w:val="20074038"/>
    <w:rsid w:val="20076D0E"/>
    <w:rsid w:val="200D20D7"/>
    <w:rsid w:val="200E01A2"/>
    <w:rsid w:val="200E03D3"/>
    <w:rsid w:val="200F45A3"/>
    <w:rsid w:val="200F64FD"/>
    <w:rsid w:val="201240B3"/>
    <w:rsid w:val="20127684"/>
    <w:rsid w:val="20144224"/>
    <w:rsid w:val="201629C6"/>
    <w:rsid w:val="201648C3"/>
    <w:rsid w:val="20173126"/>
    <w:rsid w:val="20217602"/>
    <w:rsid w:val="20243140"/>
    <w:rsid w:val="20256BF3"/>
    <w:rsid w:val="202904CB"/>
    <w:rsid w:val="202A66BB"/>
    <w:rsid w:val="202D13ED"/>
    <w:rsid w:val="202E1138"/>
    <w:rsid w:val="202E7722"/>
    <w:rsid w:val="20325E0C"/>
    <w:rsid w:val="2035501C"/>
    <w:rsid w:val="203971E9"/>
    <w:rsid w:val="203D5472"/>
    <w:rsid w:val="203F1315"/>
    <w:rsid w:val="20422116"/>
    <w:rsid w:val="204B6316"/>
    <w:rsid w:val="204C7C1A"/>
    <w:rsid w:val="204D6F97"/>
    <w:rsid w:val="20507F06"/>
    <w:rsid w:val="20517C71"/>
    <w:rsid w:val="20594BEA"/>
    <w:rsid w:val="20596EAE"/>
    <w:rsid w:val="205A6767"/>
    <w:rsid w:val="205C19D4"/>
    <w:rsid w:val="205D4887"/>
    <w:rsid w:val="20611AF5"/>
    <w:rsid w:val="2063268B"/>
    <w:rsid w:val="20636415"/>
    <w:rsid w:val="206A1605"/>
    <w:rsid w:val="206D525E"/>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52AE2"/>
    <w:rsid w:val="2148417B"/>
    <w:rsid w:val="214A277A"/>
    <w:rsid w:val="214E5B11"/>
    <w:rsid w:val="21516AF2"/>
    <w:rsid w:val="21521A6E"/>
    <w:rsid w:val="21551670"/>
    <w:rsid w:val="21553ADF"/>
    <w:rsid w:val="21580349"/>
    <w:rsid w:val="215A567B"/>
    <w:rsid w:val="215E091A"/>
    <w:rsid w:val="215F24F2"/>
    <w:rsid w:val="215F56B2"/>
    <w:rsid w:val="21651DC2"/>
    <w:rsid w:val="21652E75"/>
    <w:rsid w:val="216C1516"/>
    <w:rsid w:val="216C27BE"/>
    <w:rsid w:val="216C6B87"/>
    <w:rsid w:val="2175003E"/>
    <w:rsid w:val="2175149D"/>
    <w:rsid w:val="217A71B3"/>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51DF1"/>
    <w:rsid w:val="21D64C22"/>
    <w:rsid w:val="21D8516F"/>
    <w:rsid w:val="21DC465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80508"/>
    <w:rsid w:val="229F2244"/>
    <w:rsid w:val="229F5B62"/>
    <w:rsid w:val="22A11A88"/>
    <w:rsid w:val="22A220C7"/>
    <w:rsid w:val="22A470B5"/>
    <w:rsid w:val="22A60C83"/>
    <w:rsid w:val="22A65BE3"/>
    <w:rsid w:val="22AB19B6"/>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3014B3D"/>
    <w:rsid w:val="23042807"/>
    <w:rsid w:val="23072FB9"/>
    <w:rsid w:val="23075061"/>
    <w:rsid w:val="230A64F4"/>
    <w:rsid w:val="2310193C"/>
    <w:rsid w:val="2314181E"/>
    <w:rsid w:val="2317727F"/>
    <w:rsid w:val="231B2D00"/>
    <w:rsid w:val="231F519D"/>
    <w:rsid w:val="232020A5"/>
    <w:rsid w:val="23247DA8"/>
    <w:rsid w:val="23263DF4"/>
    <w:rsid w:val="232A727C"/>
    <w:rsid w:val="232C192C"/>
    <w:rsid w:val="232D7536"/>
    <w:rsid w:val="233072E9"/>
    <w:rsid w:val="23312C2E"/>
    <w:rsid w:val="23341961"/>
    <w:rsid w:val="23346745"/>
    <w:rsid w:val="233D00E7"/>
    <w:rsid w:val="233F4DCF"/>
    <w:rsid w:val="23434E07"/>
    <w:rsid w:val="23451D8D"/>
    <w:rsid w:val="23485BD1"/>
    <w:rsid w:val="2350118C"/>
    <w:rsid w:val="23510955"/>
    <w:rsid w:val="23550E3B"/>
    <w:rsid w:val="2358023D"/>
    <w:rsid w:val="2358116C"/>
    <w:rsid w:val="23585D58"/>
    <w:rsid w:val="235B5D92"/>
    <w:rsid w:val="235F75E7"/>
    <w:rsid w:val="23607971"/>
    <w:rsid w:val="2361058D"/>
    <w:rsid w:val="23727A3F"/>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11B36"/>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4340B3"/>
    <w:rsid w:val="24444FD4"/>
    <w:rsid w:val="24464871"/>
    <w:rsid w:val="244A34E7"/>
    <w:rsid w:val="245A074D"/>
    <w:rsid w:val="245D17E8"/>
    <w:rsid w:val="245E4A07"/>
    <w:rsid w:val="245E7BF1"/>
    <w:rsid w:val="24651C4F"/>
    <w:rsid w:val="24696713"/>
    <w:rsid w:val="246F7D44"/>
    <w:rsid w:val="24706349"/>
    <w:rsid w:val="24711307"/>
    <w:rsid w:val="24712DF5"/>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B5F35"/>
    <w:rsid w:val="249D6F0E"/>
    <w:rsid w:val="249F14E3"/>
    <w:rsid w:val="249F4CC6"/>
    <w:rsid w:val="24A03D43"/>
    <w:rsid w:val="24A40035"/>
    <w:rsid w:val="24AB13AF"/>
    <w:rsid w:val="24AB6028"/>
    <w:rsid w:val="24B10DC1"/>
    <w:rsid w:val="24B22A0D"/>
    <w:rsid w:val="24B331B5"/>
    <w:rsid w:val="24B3371E"/>
    <w:rsid w:val="24B37F87"/>
    <w:rsid w:val="24B94F60"/>
    <w:rsid w:val="24BE00A1"/>
    <w:rsid w:val="24C671AD"/>
    <w:rsid w:val="24C80E72"/>
    <w:rsid w:val="24CF3515"/>
    <w:rsid w:val="24D264D0"/>
    <w:rsid w:val="24D26DD6"/>
    <w:rsid w:val="24D8775D"/>
    <w:rsid w:val="24DB4363"/>
    <w:rsid w:val="24DC520B"/>
    <w:rsid w:val="24DE25AB"/>
    <w:rsid w:val="24E5269B"/>
    <w:rsid w:val="24EC41B0"/>
    <w:rsid w:val="24EE263C"/>
    <w:rsid w:val="24EF13F1"/>
    <w:rsid w:val="24F54873"/>
    <w:rsid w:val="24F978B1"/>
    <w:rsid w:val="24FA10BC"/>
    <w:rsid w:val="24FC5ED3"/>
    <w:rsid w:val="24FE3045"/>
    <w:rsid w:val="250333BB"/>
    <w:rsid w:val="25087DE6"/>
    <w:rsid w:val="250907A3"/>
    <w:rsid w:val="250D00F8"/>
    <w:rsid w:val="250F4D4B"/>
    <w:rsid w:val="251B6D90"/>
    <w:rsid w:val="251C2A03"/>
    <w:rsid w:val="251D01B7"/>
    <w:rsid w:val="251E43B8"/>
    <w:rsid w:val="251E725C"/>
    <w:rsid w:val="25261539"/>
    <w:rsid w:val="25280B25"/>
    <w:rsid w:val="25285778"/>
    <w:rsid w:val="252B3115"/>
    <w:rsid w:val="252E0B34"/>
    <w:rsid w:val="253009E7"/>
    <w:rsid w:val="2531350D"/>
    <w:rsid w:val="25314B2C"/>
    <w:rsid w:val="2531784F"/>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79B7"/>
    <w:rsid w:val="257803EE"/>
    <w:rsid w:val="257D18E3"/>
    <w:rsid w:val="258251CA"/>
    <w:rsid w:val="25874CB7"/>
    <w:rsid w:val="258A7CED"/>
    <w:rsid w:val="258C615A"/>
    <w:rsid w:val="258F4AC0"/>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231F"/>
    <w:rsid w:val="25CE4101"/>
    <w:rsid w:val="25D03D3D"/>
    <w:rsid w:val="25D051B3"/>
    <w:rsid w:val="25D242AC"/>
    <w:rsid w:val="25D2700D"/>
    <w:rsid w:val="25D37D50"/>
    <w:rsid w:val="25D67F69"/>
    <w:rsid w:val="25DA3546"/>
    <w:rsid w:val="25DE7808"/>
    <w:rsid w:val="25E327EF"/>
    <w:rsid w:val="25E52DD1"/>
    <w:rsid w:val="25E62027"/>
    <w:rsid w:val="25E623BE"/>
    <w:rsid w:val="25E6527D"/>
    <w:rsid w:val="25F01888"/>
    <w:rsid w:val="25F35250"/>
    <w:rsid w:val="25F67CD3"/>
    <w:rsid w:val="25FC75AF"/>
    <w:rsid w:val="26034949"/>
    <w:rsid w:val="26040C06"/>
    <w:rsid w:val="260D34D1"/>
    <w:rsid w:val="26164EC4"/>
    <w:rsid w:val="26197FFF"/>
    <w:rsid w:val="261B5B78"/>
    <w:rsid w:val="261B6EC1"/>
    <w:rsid w:val="261F4E80"/>
    <w:rsid w:val="26292DB6"/>
    <w:rsid w:val="262B57F5"/>
    <w:rsid w:val="262D3E96"/>
    <w:rsid w:val="262D5251"/>
    <w:rsid w:val="26316C79"/>
    <w:rsid w:val="2633043C"/>
    <w:rsid w:val="26340AC3"/>
    <w:rsid w:val="26342E81"/>
    <w:rsid w:val="26404BEC"/>
    <w:rsid w:val="264204E2"/>
    <w:rsid w:val="2643057C"/>
    <w:rsid w:val="264605A2"/>
    <w:rsid w:val="264A2245"/>
    <w:rsid w:val="264A3E95"/>
    <w:rsid w:val="264B1ACA"/>
    <w:rsid w:val="264F78C8"/>
    <w:rsid w:val="2651747C"/>
    <w:rsid w:val="26564BED"/>
    <w:rsid w:val="2656623A"/>
    <w:rsid w:val="2659575B"/>
    <w:rsid w:val="265A0E1E"/>
    <w:rsid w:val="265A2793"/>
    <w:rsid w:val="26622AE4"/>
    <w:rsid w:val="2663123F"/>
    <w:rsid w:val="266339E8"/>
    <w:rsid w:val="266565C7"/>
    <w:rsid w:val="26686CC3"/>
    <w:rsid w:val="266D7FD5"/>
    <w:rsid w:val="26725883"/>
    <w:rsid w:val="26737526"/>
    <w:rsid w:val="26744EA0"/>
    <w:rsid w:val="267B0FCE"/>
    <w:rsid w:val="267B6EC2"/>
    <w:rsid w:val="267E2BF4"/>
    <w:rsid w:val="26872E00"/>
    <w:rsid w:val="268A2240"/>
    <w:rsid w:val="268E0894"/>
    <w:rsid w:val="26916DB8"/>
    <w:rsid w:val="269837EF"/>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C03942"/>
    <w:rsid w:val="26C518B8"/>
    <w:rsid w:val="26C5793A"/>
    <w:rsid w:val="26C705CA"/>
    <w:rsid w:val="26C95870"/>
    <w:rsid w:val="26C95C2B"/>
    <w:rsid w:val="26CC5F73"/>
    <w:rsid w:val="26CE2F0A"/>
    <w:rsid w:val="26CF27C0"/>
    <w:rsid w:val="26CF63D9"/>
    <w:rsid w:val="26CF6823"/>
    <w:rsid w:val="26D07CC0"/>
    <w:rsid w:val="26D62980"/>
    <w:rsid w:val="26D82E82"/>
    <w:rsid w:val="26D9017F"/>
    <w:rsid w:val="26E45D21"/>
    <w:rsid w:val="26EF797D"/>
    <w:rsid w:val="26F0116E"/>
    <w:rsid w:val="26F104CD"/>
    <w:rsid w:val="26FC3727"/>
    <w:rsid w:val="26FE5EF3"/>
    <w:rsid w:val="27007DB1"/>
    <w:rsid w:val="27023FD8"/>
    <w:rsid w:val="270268FC"/>
    <w:rsid w:val="27074420"/>
    <w:rsid w:val="270A184E"/>
    <w:rsid w:val="270B3BA8"/>
    <w:rsid w:val="27115F5E"/>
    <w:rsid w:val="27130CD0"/>
    <w:rsid w:val="271438F4"/>
    <w:rsid w:val="27146B11"/>
    <w:rsid w:val="27181BBE"/>
    <w:rsid w:val="272201E2"/>
    <w:rsid w:val="27236F61"/>
    <w:rsid w:val="2726557A"/>
    <w:rsid w:val="272A2343"/>
    <w:rsid w:val="273067C6"/>
    <w:rsid w:val="27321F5C"/>
    <w:rsid w:val="273C0919"/>
    <w:rsid w:val="273E15AB"/>
    <w:rsid w:val="274159F7"/>
    <w:rsid w:val="274507A3"/>
    <w:rsid w:val="27456AC6"/>
    <w:rsid w:val="27463BA7"/>
    <w:rsid w:val="27470345"/>
    <w:rsid w:val="27492EA8"/>
    <w:rsid w:val="274B09CE"/>
    <w:rsid w:val="275269EE"/>
    <w:rsid w:val="27576E44"/>
    <w:rsid w:val="276010D4"/>
    <w:rsid w:val="27614F78"/>
    <w:rsid w:val="27636FAC"/>
    <w:rsid w:val="27653B8D"/>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A4362"/>
    <w:rsid w:val="27AA4C8D"/>
    <w:rsid w:val="27AF12EF"/>
    <w:rsid w:val="27B056BE"/>
    <w:rsid w:val="27B47525"/>
    <w:rsid w:val="27BE4CB5"/>
    <w:rsid w:val="27BF2FD9"/>
    <w:rsid w:val="27BF67BA"/>
    <w:rsid w:val="27C11C6D"/>
    <w:rsid w:val="27C60A21"/>
    <w:rsid w:val="27CD3421"/>
    <w:rsid w:val="27CD48D5"/>
    <w:rsid w:val="27CE27FE"/>
    <w:rsid w:val="27D021D8"/>
    <w:rsid w:val="27D36A26"/>
    <w:rsid w:val="27D475AA"/>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240C3"/>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5F5E1D"/>
    <w:rsid w:val="28607CE1"/>
    <w:rsid w:val="28611C46"/>
    <w:rsid w:val="28622E06"/>
    <w:rsid w:val="286606B2"/>
    <w:rsid w:val="286C46A8"/>
    <w:rsid w:val="286F63D7"/>
    <w:rsid w:val="28732E03"/>
    <w:rsid w:val="28760303"/>
    <w:rsid w:val="28781AC1"/>
    <w:rsid w:val="287B4553"/>
    <w:rsid w:val="28800158"/>
    <w:rsid w:val="28820F44"/>
    <w:rsid w:val="288220FA"/>
    <w:rsid w:val="288408D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A3CA5"/>
    <w:rsid w:val="299B07C3"/>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705C4"/>
    <w:rsid w:val="29E95E36"/>
    <w:rsid w:val="29EC7DCB"/>
    <w:rsid w:val="29EF4D36"/>
    <w:rsid w:val="29F00B3D"/>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B7A07"/>
    <w:rsid w:val="2A361CB2"/>
    <w:rsid w:val="2A36594F"/>
    <w:rsid w:val="2A3B3E69"/>
    <w:rsid w:val="2A3B4C1A"/>
    <w:rsid w:val="2A3F15E1"/>
    <w:rsid w:val="2A451545"/>
    <w:rsid w:val="2A467378"/>
    <w:rsid w:val="2A4A1E68"/>
    <w:rsid w:val="2A4B11DF"/>
    <w:rsid w:val="2A4F30C7"/>
    <w:rsid w:val="2A4F54C7"/>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03D2"/>
    <w:rsid w:val="2AC31C45"/>
    <w:rsid w:val="2AC64A5F"/>
    <w:rsid w:val="2AC6739A"/>
    <w:rsid w:val="2AC73F22"/>
    <w:rsid w:val="2AC9741F"/>
    <w:rsid w:val="2ADA1FD1"/>
    <w:rsid w:val="2AE020A3"/>
    <w:rsid w:val="2AEC5EB6"/>
    <w:rsid w:val="2AF012D3"/>
    <w:rsid w:val="2AF2081B"/>
    <w:rsid w:val="2AF32409"/>
    <w:rsid w:val="2AFA5225"/>
    <w:rsid w:val="2B056378"/>
    <w:rsid w:val="2B0758FE"/>
    <w:rsid w:val="2B08119A"/>
    <w:rsid w:val="2B085178"/>
    <w:rsid w:val="2B090250"/>
    <w:rsid w:val="2B0B1C38"/>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BC2"/>
    <w:rsid w:val="2BAF6A9E"/>
    <w:rsid w:val="2BB259E6"/>
    <w:rsid w:val="2BB404F2"/>
    <w:rsid w:val="2BB45659"/>
    <w:rsid w:val="2BB74F47"/>
    <w:rsid w:val="2BB93A98"/>
    <w:rsid w:val="2BBD5A31"/>
    <w:rsid w:val="2BC02CC7"/>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75745"/>
    <w:rsid w:val="2D797FB2"/>
    <w:rsid w:val="2D7A5E7E"/>
    <w:rsid w:val="2D851160"/>
    <w:rsid w:val="2D8679AE"/>
    <w:rsid w:val="2D880E79"/>
    <w:rsid w:val="2D8E4CEB"/>
    <w:rsid w:val="2D905D36"/>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EF1A65"/>
    <w:rsid w:val="2DF47B81"/>
    <w:rsid w:val="2DF52FB9"/>
    <w:rsid w:val="2DF5552F"/>
    <w:rsid w:val="2DF73F30"/>
    <w:rsid w:val="2DF9136B"/>
    <w:rsid w:val="2DFA1D0C"/>
    <w:rsid w:val="2DFE6ACC"/>
    <w:rsid w:val="2E044853"/>
    <w:rsid w:val="2E0C7A4C"/>
    <w:rsid w:val="2E0D5208"/>
    <w:rsid w:val="2E0E4621"/>
    <w:rsid w:val="2E1121FD"/>
    <w:rsid w:val="2E14569B"/>
    <w:rsid w:val="2E1502F0"/>
    <w:rsid w:val="2E1F1A31"/>
    <w:rsid w:val="2E205229"/>
    <w:rsid w:val="2E2C7176"/>
    <w:rsid w:val="2E2D1D61"/>
    <w:rsid w:val="2E2D3D34"/>
    <w:rsid w:val="2E353422"/>
    <w:rsid w:val="2E380991"/>
    <w:rsid w:val="2E3926C3"/>
    <w:rsid w:val="2E3C6173"/>
    <w:rsid w:val="2E3E73B5"/>
    <w:rsid w:val="2E4A731A"/>
    <w:rsid w:val="2E5024D8"/>
    <w:rsid w:val="2E5C4F9B"/>
    <w:rsid w:val="2E605AE6"/>
    <w:rsid w:val="2E643BF9"/>
    <w:rsid w:val="2E660A34"/>
    <w:rsid w:val="2E680509"/>
    <w:rsid w:val="2E686180"/>
    <w:rsid w:val="2E6D2463"/>
    <w:rsid w:val="2E7043F3"/>
    <w:rsid w:val="2E725AB5"/>
    <w:rsid w:val="2E751D5C"/>
    <w:rsid w:val="2E8725F8"/>
    <w:rsid w:val="2E89270D"/>
    <w:rsid w:val="2E8D356C"/>
    <w:rsid w:val="2E9101F7"/>
    <w:rsid w:val="2E9326A8"/>
    <w:rsid w:val="2E9344BB"/>
    <w:rsid w:val="2E962627"/>
    <w:rsid w:val="2E9C1E7A"/>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065C"/>
    <w:rsid w:val="2EEB1791"/>
    <w:rsid w:val="2EF02698"/>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6051BD"/>
    <w:rsid w:val="2F66155E"/>
    <w:rsid w:val="2F697088"/>
    <w:rsid w:val="2F6E52E8"/>
    <w:rsid w:val="2F725728"/>
    <w:rsid w:val="2F735266"/>
    <w:rsid w:val="2F761B45"/>
    <w:rsid w:val="2F776C59"/>
    <w:rsid w:val="2F781F3C"/>
    <w:rsid w:val="2F791891"/>
    <w:rsid w:val="2F7F152E"/>
    <w:rsid w:val="2F811219"/>
    <w:rsid w:val="2F843638"/>
    <w:rsid w:val="2F877CDA"/>
    <w:rsid w:val="2F890849"/>
    <w:rsid w:val="2F931ADF"/>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547D"/>
    <w:rsid w:val="30736236"/>
    <w:rsid w:val="30762FEA"/>
    <w:rsid w:val="30781681"/>
    <w:rsid w:val="307A0395"/>
    <w:rsid w:val="307D2377"/>
    <w:rsid w:val="307E4267"/>
    <w:rsid w:val="3080592C"/>
    <w:rsid w:val="308140F8"/>
    <w:rsid w:val="30832CE2"/>
    <w:rsid w:val="30904317"/>
    <w:rsid w:val="30910176"/>
    <w:rsid w:val="309444DE"/>
    <w:rsid w:val="30952D9C"/>
    <w:rsid w:val="30984AF5"/>
    <w:rsid w:val="309A5055"/>
    <w:rsid w:val="309D2147"/>
    <w:rsid w:val="309D46DA"/>
    <w:rsid w:val="30A85C99"/>
    <w:rsid w:val="30AA4130"/>
    <w:rsid w:val="30AB47C5"/>
    <w:rsid w:val="30AD4875"/>
    <w:rsid w:val="30B05988"/>
    <w:rsid w:val="30B7355D"/>
    <w:rsid w:val="30B94AC0"/>
    <w:rsid w:val="30C366D4"/>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F113C7"/>
    <w:rsid w:val="30FA4CE6"/>
    <w:rsid w:val="30FC4EF7"/>
    <w:rsid w:val="310159DF"/>
    <w:rsid w:val="31032659"/>
    <w:rsid w:val="31081AAA"/>
    <w:rsid w:val="31091CED"/>
    <w:rsid w:val="310F24E7"/>
    <w:rsid w:val="31121EC6"/>
    <w:rsid w:val="31157243"/>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E471F"/>
    <w:rsid w:val="316F6E11"/>
    <w:rsid w:val="31723FFB"/>
    <w:rsid w:val="31725C00"/>
    <w:rsid w:val="317A104A"/>
    <w:rsid w:val="317F3FBE"/>
    <w:rsid w:val="31836A9D"/>
    <w:rsid w:val="31854832"/>
    <w:rsid w:val="31884274"/>
    <w:rsid w:val="31891BCF"/>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40257"/>
    <w:rsid w:val="32255778"/>
    <w:rsid w:val="322B0D1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30255"/>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16AB9"/>
    <w:rsid w:val="33120FD6"/>
    <w:rsid w:val="33164A63"/>
    <w:rsid w:val="331B364A"/>
    <w:rsid w:val="331E61AA"/>
    <w:rsid w:val="33201A19"/>
    <w:rsid w:val="33257307"/>
    <w:rsid w:val="333102EF"/>
    <w:rsid w:val="333702E1"/>
    <w:rsid w:val="333751D5"/>
    <w:rsid w:val="333A1999"/>
    <w:rsid w:val="33403AD0"/>
    <w:rsid w:val="3341052F"/>
    <w:rsid w:val="334324D3"/>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0087E"/>
    <w:rsid w:val="33C748AE"/>
    <w:rsid w:val="33C75909"/>
    <w:rsid w:val="33D02E46"/>
    <w:rsid w:val="33D53334"/>
    <w:rsid w:val="33DA5D7D"/>
    <w:rsid w:val="33DB47C4"/>
    <w:rsid w:val="33DE181D"/>
    <w:rsid w:val="33DF593B"/>
    <w:rsid w:val="33E261A6"/>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31782"/>
    <w:rsid w:val="34644217"/>
    <w:rsid w:val="3465029D"/>
    <w:rsid w:val="3466773F"/>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3C04"/>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4A4"/>
    <w:rsid w:val="34CF701B"/>
    <w:rsid w:val="34D665DD"/>
    <w:rsid w:val="34DB4F48"/>
    <w:rsid w:val="34DC68C6"/>
    <w:rsid w:val="34E509F2"/>
    <w:rsid w:val="34E86316"/>
    <w:rsid w:val="34E95C2F"/>
    <w:rsid w:val="34EA52C6"/>
    <w:rsid w:val="34EE3576"/>
    <w:rsid w:val="34F020FF"/>
    <w:rsid w:val="34F17EC9"/>
    <w:rsid w:val="34FA344D"/>
    <w:rsid w:val="34FF7FD7"/>
    <w:rsid w:val="35005469"/>
    <w:rsid w:val="35017F79"/>
    <w:rsid w:val="3507408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64AC5"/>
    <w:rsid w:val="35450042"/>
    <w:rsid w:val="35460BDD"/>
    <w:rsid w:val="354621CF"/>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7706DE"/>
    <w:rsid w:val="35856351"/>
    <w:rsid w:val="35862921"/>
    <w:rsid w:val="358D4F45"/>
    <w:rsid w:val="358E6E0F"/>
    <w:rsid w:val="35940857"/>
    <w:rsid w:val="35940CC1"/>
    <w:rsid w:val="35955E66"/>
    <w:rsid w:val="3595612F"/>
    <w:rsid w:val="35A444A3"/>
    <w:rsid w:val="35A80B52"/>
    <w:rsid w:val="35A9105B"/>
    <w:rsid w:val="35AE4034"/>
    <w:rsid w:val="35AF609D"/>
    <w:rsid w:val="35B2395E"/>
    <w:rsid w:val="35B500E7"/>
    <w:rsid w:val="35B77945"/>
    <w:rsid w:val="35BB6015"/>
    <w:rsid w:val="35BC68C2"/>
    <w:rsid w:val="35BF0938"/>
    <w:rsid w:val="35C07DDA"/>
    <w:rsid w:val="35C178BC"/>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B4038"/>
    <w:rsid w:val="35FE5605"/>
    <w:rsid w:val="35FF189A"/>
    <w:rsid w:val="36013E8A"/>
    <w:rsid w:val="360219E2"/>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66CFB"/>
    <w:rsid w:val="364A0B1E"/>
    <w:rsid w:val="364A318D"/>
    <w:rsid w:val="364D41E4"/>
    <w:rsid w:val="36553902"/>
    <w:rsid w:val="365C692E"/>
    <w:rsid w:val="365E5AB3"/>
    <w:rsid w:val="36600E05"/>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D07C32"/>
    <w:rsid w:val="36D105F0"/>
    <w:rsid w:val="36D12A0A"/>
    <w:rsid w:val="36D53B5B"/>
    <w:rsid w:val="36D54D95"/>
    <w:rsid w:val="36DB016A"/>
    <w:rsid w:val="36DD3272"/>
    <w:rsid w:val="36E338B6"/>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C6CAA"/>
    <w:rsid w:val="3764024E"/>
    <w:rsid w:val="37673380"/>
    <w:rsid w:val="37692AA2"/>
    <w:rsid w:val="376936A3"/>
    <w:rsid w:val="376B0BB2"/>
    <w:rsid w:val="376B5BE2"/>
    <w:rsid w:val="377468B5"/>
    <w:rsid w:val="37761760"/>
    <w:rsid w:val="37792D4C"/>
    <w:rsid w:val="377C1A12"/>
    <w:rsid w:val="377F29FA"/>
    <w:rsid w:val="378A2E48"/>
    <w:rsid w:val="378B14DA"/>
    <w:rsid w:val="378D4721"/>
    <w:rsid w:val="37903FF1"/>
    <w:rsid w:val="3793144B"/>
    <w:rsid w:val="379811AE"/>
    <w:rsid w:val="379A790F"/>
    <w:rsid w:val="379F1FC4"/>
    <w:rsid w:val="37A24258"/>
    <w:rsid w:val="37A867E7"/>
    <w:rsid w:val="37AB5815"/>
    <w:rsid w:val="37AE3B96"/>
    <w:rsid w:val="37AE3FC6"/>
    <w:rsid w:val="37AE5261"/>
    <w:rsid w:val="37B05BE5"/>
    <w:rsid w:val="37B22D58"/>
    <w:rsid w:val="37B3204B"/>
    <w:rsid w:val="37B532ED"/>
    <w:rsid w:val="37B573A1"/>
    <w:rsid w:val="37B73AE2"/>
    <w:rsid w:val="37B852BB"/>
    <w:rsid w:val="37BC1250"/>
    <w:rsid w:val="37BC6B83"/>
    <w:rsid w:val="37BE52D4"/>
    <w:rsid w:val="37C04CE8"/>
    <w:rsid w:val="37C10E58"/>
    <w:rsid w:val="37C135D8"/>
    <w:rsid w:val="37C13ADD"/>
    <w:rsid w:val="37C615E0"/>
    <w:rsid w:val="37C62CBD"/>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93905"/>
    <w:rsid w:val="37EB49EA"/>
    <w:rsid w:val="37EC0B89"/>
    <w:rsid w:val="37F050D5"/>
    <w:rsid w:val="37F1732C"/>
    <w:rsid w:val="37F41004"/>
    <w:rsid w:val="37F53C31"/>
    <w:rsid w:val="37FE386C"/>
    <w:rsid w:val="380060EB"/>
    <w:rsid w:val="380546E0"/>
    <w:rsid w:val="38085331"/>
    <w:rsid w:val="381007FB"/>
    <w:rsid w:val="38114349"/>
    <w:rsid w:val="38117674"/>
    <w:rsid w:val="3812501F"/>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9029B4"/>
    <w:rsid w:val="389169F6"/>
    <w:rsid w:val="38934508"/>
    <w:rsid w:val="38951ABA"/>
    <w:rsid w:val="389A6219"/>
    <w:rsid w:val="389A7DF3"/>
    <w:rsid w:val="389B3E30"/>
    <w:rsid w:val="389C197D"/>
    <w:rsid w:val="389C6FFC"/>
    <w:rsid w:val="389C7640"/>
    <w:rsid w:val="389E103B"/>
    <w:rsid w:val="38A066E6"/>
    <w:rsid w:val="38A25437"/>
    <w:rsid w:val="38A53C7F"/>
    <w:rsid w:val="38A53CD2"/>
    <w:rsid w:val="38A66351"/>
    <w:rsid w:val="38A92D72"/>
    <w:rsid w:val="38AD0FB8"/>
    <w:rsid w:val="38AD4C0A"/>
    <w:rsid w:val="38B044CA"/>
    <w:rsid w:val="38B04511"/>
    <w:rsid w:val="38B46374"/>
    <w:rsid w:val="38B914DE"/>
    <w:rsid w:val="38BA5014"/>
    <w:rsid w:val="38BA672D"/>
    <w:rsid w:val="38C05CF9"/>
    <w:rsid w:val="38C22308"/>
    <w:rsid w:val="38C31B7A"/>
    <w:rsid w:val="38C449E2"/>
    <w:rsid w:val="38C517E5"/>
    <w:rsid w:val="38CB30F4"/>
    <w:rsid w:val="38CC345F"/>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A41F3"/>
    <w:rsid w:val="394A676A"/>
    <w:rsid w:val="39506734"/>
    <w:rsid w:val="395A6D19"/>
    <w:rsid w:val="395D0192"/>
    <w:rsid w:val="395D0E21"/>
    <w:rsid w:val="396073B4"/>
    <w:rsid w:val="3961140C"/>
    <w:rsid w:val="39623B52"/>
    <w:rsid w:val="39727F06"/>
    <w:rsid w:val="39765E70"/>
    <w:rsid w:val="39770A5A"/>
    <w:rsid w:val="39771A07"/>
    <w:rsid w:val="39774BBD"/>
    <w:rsid w:val="397E51D4"/>
    <w:rsid w:val="3984789F"/>
    <w:rsid w:val="39847EB1"/>
    <w:rsid w:val="398663A1"/>
    <w:rsid w:val="398704BB"/>
    <w:rsid w:val="39882427"/>
    <w:rsid w:val="398B605E"/>
    <w:rsid w:val="39916F0D"/>
    <w:rsid w:val="39926717"/>
    <w:rsid w:val="399812C8"/>
    <w:rsid w:val="399A4AA2"/>
    <w:rsid w:val="399E1C0B"/>
    <w:rsid w:val="399E7C1A"/>
    <w:rsid w:val="399F597C"/>
    <w:rsid w:val="39A21811"/>
    <w:rsid w:val="39A563F3"/>
    <w:rsid w:val="39AE4B31"/>
    <w:rsid w:val="39AE6303"/>
    <w:rsid w:val="39B261DB"/>
    <w:rsid w:val="39B857F7"/>
    <w:rsid w:val="39B90E5E"/>
    <w:rsid w:val="39BB3A94"/>
    <w:rsid w:val="39BF4E6C"/>
    <w:rsid w:val="39C10EC4"/>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B63E8"/>
    <w:rsid w:val="3A2C09D8"/>
    <w:rsid w:val="3A2C3BA6"/>
    <w:rsid w:val="3A2D0617"/>
    <w:rsid w:val="3A3539DC"/>
    <w:rsid w:val="3A39457D"/>
    <w:rsid w:val="3A394D5E"/>
    <w:rsid w:val="3A3D4D53"/>
    <w:rsid w:val="3A3F55B2"/>
    <w:rsid w:val="3A474BBB"/>
    <w:rsid w:val="3A4A27B4"/>
    <w:rsid w:val="3A4B1958"/>
    <w:rsid w:val="3A4C310B"/>
    <w:rsid w:val="3A4C45A1"/>
    <w:rsid w:val="3A4D1649"/>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F4366"/>
    <w:rsid w:val="3A8700BD"/>
    <w:rsid w:val="3A870750"/>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5E6999"/>
    <w:rsid w:val="3B655303"/>
    <w:rsid w:val="3B694363"/>
    <w:rsid w:val="3B6A6F30"/>
    <w:rsid w:val="3B6B3E1B"/>
    <w:rsid w:val="3B7175ED"/>
    <w:rsid w:val="3B742247"/>
    <w:rsid w:val="3B7445CF"/>
    <w:rsid w:val="3B7923BD"/>
    <w:rsid w:val="3B7948A0"/>
    <w:rsid w:val="3B7A0E16"/>
    <w:rsid w:val="3B7A5CB5"/>
    <w:rsid w:val="3B7B36A3"/>
    <w:rsid w:val="3B81256C"/>
    <w:rsid w:val="3B832A31"/>
    <w:rsid w:val="3B8535DD"/>
    <w:rsid w:val="3B865EFD"/>
    <w:rsid w:val="3B8A0FE3"/>
    <w:rsid w:val="3B8B274A"/>
    <w:rsid w:val="3B8D0B94"/>
    <w:rsid w:val="3B8D3F60"/>
    <w:rsid w:val="3B90223A"/>
    <w:rsid w:val="3B9A055F"/>
    <w:rsid w:val="3B9C0A2C"/>
    <w:rsid w:val="3BA23EEE"/>
    <w:rsid w:val="3BA50C0C"/>
    <w:rsid w:val="3BA70120"/>
    <w:rsid w:val="3BA71D5D"/>
    <w:rsid w:val="3BA773DF"/>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C3AEB"/>
    <w:rsid w:val="3BEF7A3A"/>
    <w:rsid w:val="3BF23DEC"/>
    <w:rsid w:val="3BF30D1B"/>
    <w:rsid w:val="3BF3263D"/>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B33"/>
    <w:rsid w:val="3C136D9F"/>
    <w:rsid w:val="3C154938"/>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26577"/>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17D81"/>
    <w:rsid w:val="3CD81277"/>
    <w:rsid w:val="3CD84E4E"/>
    <w:rsid w:val="3CD927D3"/>
    <w:rsid w:val="3CDB2418"/>
    <w:rsid w:val="3CDD45F6"/>
    <w:rsid w:val="3CDD641E"/>
    <w:rsid w:val="3CDD6F13"/>
    <w:rsid w:val="3CE03540"/>
    <w:rsid w:val="3CEB0CD8"/>
    <w:rsid w:val="3CF012B5"/>
    <w:rsid w:val="3CF10224"/>
    <w:rsid w:val="3CF10A63"/>
    <w:rsid w:val="3CF55937"/>
    <w:rsid w:val="3CFB03F3"/>
    <w:rsid w:val="3D05649D"/>
    <w:rsid w:val="3D056F8B"/>
    <w:rsid w:val="3D0918B6"/>
    <w:rsid w:val="3D0D0F5F"/>
    <w:rsid w:val="3D0E2650"/>
    <w:rsid w:val="3D0E7B96"/>
    <w:rsid w:val="3D126167"/>
    <w:rsid w:val="3D13316C"/>
    <w:rsid w:val="3D1C3A7C"/>
    <w:rsid w:val="3D24596E"/>
    <w:rsid w:val="3D2558DA"/>
    <w:rsid w:val="3D283331"/>
    <w:rsid w:val="3D2D5705"/>
    <w:rsid w:val="3D2E57FB"/>
    <w:rsid w:val="3D310462"/>
    <w:rsid w:val="3D3256F4"/>
    <w:rsid w:val="3D344D4E"/>
    <w:rsid w:val="3D362CDD"/>
    <w:rsid w:val="3D3A74A4"/>
    <w:rsid w:val="3D3C4CF9"/>
    <w:rsid w:val="3D4206BE"/>
    <w:rsid w:val="3D433BE3"/>
    <w:rsid w:val="3D4410E3"/>
    <w:rsid w:val="3D4B622D"/>
    <w:rsid w:val="3D4F1820"/>
    <w:rsid w:val="3D505E2B"/>
    <w:rsid w:val="3D54620E"/>
    <w:rsid w:val="3D5D13B1"/>
    <w:rsid w:val="3D6C2810"/>
    <w:rsid w:val="3D6C7D6A"/>
    <w:rsid w:val="3D731831"/>
    <w:rsid w:val="3D754241"/>
    <w:rsid w:val="3D7545C9"/>
    <w:rsid w:val="3D754970"/>
    <w:rsid w:val="3D757B20"/>
    <w:rsid w:val="3D761B1D"/>
    <w:rsid w:val="3D7845E4"/>
    <w:rsid w:val="3D78514D"/>
    <w:rsid w:val="3D7877C7"/>
    <w:rsid w:val="3D7E0416"/>
    <w:rsid w:val="3D806AC3"/>
    <w:rsid w:val="3D837D75"/>
    <w:rsid w:val="3D8438BD"/>
    <w:rsid w:val="3D8517F9"/>
    <w:rsid w:val="3D8B02DF"/>
    <w:rsid w:val="3D923409"/>
    <w:rsid w:val="3D965F28"/>
    <w:rsid w:val="3D9A5C4B"/>
    <w:rsid w:val="3D9E5E72"/>
    <w:rsid w:val="3DA009B3"/>
    <w:rsid w:val="3DA009C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B2B21"/>
    <w:rsid w:val="3DDC6D31"/>
    <w:rsid w:val="3DE0651C"/>
    <w:rsid w:val="3DE107A0"/>
    <w:rsid w:val="3DE121B4"/>
    <w:rsid w:val="3DE21CE1"/>
    <w:rsid w:val="3DE413BA"/>
    <w:rsid w:val="3DE637C5"/>
    <w:rsid w:val="3DE64097"/>
    <w:rsid w:val="3DE67BD3"/>
    <w:rsid w:val="3DE67F19"/>
    <w:rsid w:val="3DE87D71"/>
    <w:rsid w:val="3DF145BF"/>
    <w:rsid w:val="3DF35996"/>
    <w:rsid w:val="3DF6113A"/>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D0F7B"/>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395"/>
    <w:rsid w:val="3E85512E"/>
    <w:rsid w:val="3E8F577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76BCF"/>
    <w:rsid w:val="40097ED4"/>
    <w:rsid w:val="400F1A7E"/>
    <w:rsid w:val="4013650D"/>
    <w:rsid w:val="40166C8D"/>
    <w:rsid w:val="40224723"/>
    <w:rsid w:val="402769AB"/>
    <w:rsid w:val="4029301D"/>
    <w:rsid w:val="40297D18"/>
    <w:rsid w:val="402C7086"/>
    <w:rsid w:val="403403F4"/>
    <w:rsid w:val="4036300F"/>
    <w:rsid w:val="40373485"/>
    <w:rsid w:val="40374A52"/>
    <w:rsid w:val="403A0C68"/>
    <w:rsid w:val="40420FB3"/>
    <w:rsid w:val="40427926"/>
    <w:rsid w:val="40440637"/>
    <w:rsid w:val="404465A7"/>
    <w:rsid w:val="40465DB4"/>
    <w:rsid w:val="404A0ADE"/>
    <w:rsid w:val="404B727B"/>
    <w:rsid w:val="4051638A"/>
    <w:rsid w:val="4053273E"/>
    <w:rsid w:val="40586B1A"/>
    <w:rsid w:val="40592F9A"/>
    <w:rsid w:val="405C46EC"/>
    <w:rsid w:val="40645970"/>
    <w:rsid w:val="406E640F"/>
    <w:rsid w:val="40713C95"/>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36DA0"/>
    <w:rsid w:val="414B6D3D"/>
    <w:rsid w:val="414E5F80"/>
    <w:rsid w:val="41514E0E"/>
    <w:rsid w:val="415171FD"/>
    <w:rsid w:val="41530D2D"/>
    <w:rsid w:val="41533BDC"/>
    <w:rsid w:val="415720A4"/>
    <w:rsid w:val="41572D1B"/>
    <w:rsid w:val="41581AA2"/>
    <w:rsid w:val="4159014F"/>
    <w:rsid w:val="415917F4"/>
    <w:rsid w:val="416A0B42"/>
    <w:rsid w:val="416A0C82"/>
    <w:rsid w:val="416C1A09"/>
    <w:rsid w:val="41701E08"/>
    <w:rsid w:val="417050B7"/>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DC5AD1"/>
    <w:rsid w:val="41E26577"/>
    <w:rsid w:val="41E76E0D"/>
    <w:rsid w:val="41EB650D"/>
    <w:rsid w:val="41F16692"/>
    <w:rsid w:val="41FA376E"/>
    <w:rsid w:val="41FD6A73"/>
    <w:rsid w:val="41FE6CB2"/>
    <w:rsid w:val="42032AFE"/>
    <w:rsid w:val="420556C8"/>
    <w:rsid w:val="42057535"/>
    <w:rsid w:val="420C1102"/>
    <w:rsid w:val="4214720F"/>
    <w:rsid w:val="4215698E"/>
    <w:rsid w:val="421576E7"/>
    <w:rsid w:val="4217488D"/>
    <w:rsid w:val="421D7B36"/>
    <w:rsid w:val="421E17F2"/>
    <w:rsid w:val="4221247C"/>
    <w:rsid w:val="4221530F"/>
    <w:rsid w:val="42225E47"/>
    <w:rsid w:val="422345EF"/>
    <w:rsid w:val="42240668"/>
    <w:rsid w:val="42262DA1"/>
    <w:rsid w:val="422A1E24"/>
    <w:rsid w:val="422E486B"/>
    <w:rsid w:val="422F428A"/>
    <w:rsid w:val="42330617"/>
    <w:rsid w:val="423865E7"/>
    <w:rsid w:val="423A25B5"/>
    <w:rsid w:val="42497ED2"/>
    <w:rsid w:val="424A3927"/>
    <w:rsid w:val="424E09CD"/>
    <w:rsid w:val="424E515B"/>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90C2F"/>
    <w:rsid w:val="428B14DB"/>
    <w:rsid w:val="428B5B04"/>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F35C8"/>
    <w:rsid w:val="42E22316"/>
    <w:rsid w:val="42E36698"/>
    <w:rsid w:val="42E736DA"/>
    <w:rsid w:val="42E9081C"/>
    <w:rsid w:val="42EC2E29"/>
    <w:rsid w:val="42ED2458"/>
    <w:rsid w:val="42EF0CCD"/>
    <w:rsid w:val="42F1490F"/>
    <w:rsid w:val="42F25520"/>
    <w:rsid w:val="42F81BD3"/>
    <w:rsid w:val="42FA52E0"/>
    <w:rsid w:val="430A701A"/>
    <w:rsid w:val="430B23FA"/>
    <w:rsid w:val="430D0405"/>
    <w:rsid w:val="4312542E"/>
    <w:rsid w:val="431417E6"/>
    <w:rsid w:val="4318449F"/>
    <w:rsid w:val="431F7799"/>
    <w:rsid w:val="432009E1"/>
    <w:rsid w:val="43206F9C"/>
    <w:rsid w:val="43233D79"/>
    <w:rsid w:val="432958E1"/>
    <w:rsid w:val="432E62EC"/>
    <w:rsid w:val="43334F51"/>
    <w:rsid w:val="433429FE"/>
    <w:rsid w:val="4334351A"/>
    <w:rsid w:val="43353730"/>
    <w:rsid w:val="43396575"/>
    <w:rsid w:val="433B46C8"/>
    <w:rsid w:val="4351273E"/>
    <w:rsid w:val="4351304C"/>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7C0D"/>
    <w:rsid w:val="43F84F4E"/>
    <w:rsid w:val="4402627E"/>
    <w:rsid w:val="4406238A"/>
    <w:rsid w:val="440A5B01"/>
    <w:rsid w:val="440F71F0"/>
    <w:rsid w:val="441369C8"/>
    <w:rsid w:val="441445A5"/>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BC5CCF"/>
    <w:rsid w:val="44C13355"/>
    <w:rsid w:val="44C207F8"/>
    <w:rsid w:val="44C27F05"/>
    <w:rsid w:val="44D40990"/>
    <w:rsid w:val="44D65CFD"/>
    <w:rsid w:val="44E961E2"/>
    <w:rsid w:val="44EB164C"/>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31A69"/>
    <w:rsid w:val="45635E19"/>
    <w:rsid w:val="45650914"/>
    <w:rsid w:val="4567388B"/>
    <w:rsid w:val="45675262"/>
    <w:rsid w:val="45681FEC"/>
    <w:rsid w:val="45691AFB"/>
    <w:rsid w:val="456967CC"/>
    <w:rsid w:val="456E2A10"/>
    <w:rsid w:val="456E2FF2"/>
    <w:rsid w:val="457344AB"/>
    <w:rsid w:val="45743CAB"/>
    <w:rsid w:val="4579584D"/>
    <w:rsid w:val="45845D00"/>
    <w:rsid w:val="45871AE5"/>
    <w:rsid w:val="45896527"/>
    <w:rsid w:val="458C06D4"/>
    <w:rsid w:val="45925F15"/>
    <w:rsid w:val="45951587"/>
    <w:rsid w:val="459709F5"/>
    <w:rsid w:val="45971871"/>
    <w:rsid w:val="45976947"/>
    <w:rsid w:val="459D66FF"/>
    <w:rsid w:val="459F7C0E"/>
    <w:rsid w:val="45A71D2E"/>
    <w:rsid w:val="45A93EB1"/>
    <w:rsid w:val="45AD646A"/>
    <w:rsid w:val="45AE45C8"/>
    <w:rsid w:val="45B317CF"/>
    <w:rsid w:val="45B405A3"/>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B6A7B"/>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8092C"/>
    <w:rsid w:val="464B3947"/>
    <w:rsid w:val="46532B01"/>
    <w:rsid w:val="46540E4D"/>
    <w:rsid w:val="46584184"/>
    <w:rsid w:val="4661416D"/>
    <w:rsid w:val="46630636"/>
    <w:rsid w:val="4664264C"/>
    <w:rsid w:val="46665B82"/>
    <w:rsid w:val="46687376"/>
    <w:rsid w:val="46696D7B"/>
    <w:rsid w:val="466A3D97"/>
    <w:rsid w:val="466B13E5"/>
    <w:rsid w:val="4670547D"/>
    <w:rsid w:val="46736A34"/>
    <w:rsid w:val="46814267"/>
    <w:rsid w:val="46822FF2"/>
    <w:rsid w:val="468431CC"/>
    <w:rsid w:val="46845983"/>
    <w:rsid w:val="46846139"/>
    <w:rsid w:val="468706E8"/>
    <w:rsid w:val="468B73C2"/>
    <w:rsid w:val="46934B28"/>
    <w:rsid w:val="4695611E"/>
    <w:rsid w:val="469F0CB5"/>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B2DC9"/>
    <w:rsid w:val="470B390C"/>
    <w:rsid w:val="470C108A"/>
    <w:rsid w:val="470D2341"/>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175A"/>
    <w:rsid w:val="47D968A0"/>
    <w:rsid w:val="47DC0A82"/>
    <w:rsid w:val="47DC5693"/>
    <w:rsid w:val="47E05908"/>
    <w:rsid w:val="47E6279E"/>
    <w:rsid w:val="47E63FE1"/>
    <w:rsid w:val="47E71B8A"/>
    <w:rsid w:val="47E72B65"/>
    <w:rsid w:val="47E73175"/>
    <w:rsid w:val="47E73DED"/>
    <w:rsid w:val="47F469EF"/>
    <w:rsid w:val="47F90017"/>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6F23"/>
    <w:rsid w:val="484E0854"/>
    <w:rsid w:val="48517833"/>
    <w:rsid w:val="48535901"/>
    <w:rsid w:val="48576F86"/>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63808"/>
    <w:rsid w:val="48983085"/>
    <w:rsid w:val="489A2DBE"/>
    <w:rsid w:val="489B4B2D"/>
    <w:rsid w:val="489D4DCE"/>
    <w:rsid w:val="489E0A6C"/>
    <w:rsid w:val="48A260BC"/>
    <w:rsid w:val="48A330F7"/>
    <w:rsid w:val="48A5260C"/>
    <w:rsid w:val="48A6395B"/>
    <w:rsid w:val="48A74E36"/>
    <w:rsid w:val="48AD2CB1"/>
    <w:rsid w:val="48AD72C6"/>
    <w:rsid w:val="48AF3B8C"/>
    <w:rsid w:val="48B00A86"/>
    <w:rsid w:val="48B157CB"/>
    <w:rsid w:val="48B3188D"/>
    <w:rsid w:val="48B92E68"/>
    <w:rsid w:val="48BB392F"/>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6690A"/>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A77D0"/>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601E"/>
    <w:rsid w:val="4A017C98"/>
    <w:rsid w:val="4A080E5C"/>
    <w:rsid w:val="4A0B352C"/>
    <w:rsid w:val="4A0C0468"/>
    <w:rsid w:val="4A0F3A1C"/>
    <w:rsid w:val="4A105073"/>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B0DBF"/>
    <w:rsid w:val="4A3B207D"/>
    <w:rsid w:val="4A3C074A"/>
    <w:rsid w:val="4A3C6C2D"/>
    <w:rsid w:val="4A3D1BC3"/>
    <w:rsid w:val="4A3D5CBA"/>
    <w:rsid w:val="4A401246"/>
    <w:rsid w:val="4A417E42"/>
    <w:rsid w:val="4A454D21"/>
    <w:rsid w:val="4A535B24"/>
    <w:rsid w:val="4A545D35"/>
    <w:rsid w:val="4A55194D"/>
    <w:rsid w:val="4A5B1329"/>
    <w:rsid w:val="4A5B7FD1"/>
    <w:rsid w:val="4A6159C0"/>
    <w:rsid w:val="4A6579CD"/>
    <w:rsid w:val="4A672F5C"/>
    <w:rsid w:val="4A6B6B3E"/>
    <w:rsid w:val="4A6C083F"/>
    <w:rsid w:val="4A724018"/>
    <w:rsid w:val="4A726BD6"/>
    <w:rsid w:val="4A7417EC"/>
    <w:rsid w:val="4A74295B"/>
    <w:rsid w:val="4A755FA4"/>
    <w:rsid w:val="4A775D75"/>
    <w:rsid w:val="4A7B6771"/>
    <w:rsid w:val="4A7C187A"/>
    <w:rsid w:val="4A7F6FEC"/>
    <w:rsid w:val="4A8369E6"/>
    <w:rsid w:val="4A853B44"/>
    <w:rsid w:val="4A89373F"/>
    <w:rsid w:val="4A8A2132"/>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694F"/>
    <w:rsid w:val="4ADE4335"/>
    <w:rsid w:val="4AE137C9"/>
    <w:rsid w:val="4AE964A0"/>
    <w:rsid w:val="4AF157AF"/>
    <w:rsid w:val="4AF20166"/>
    <w:rsid w:val="4AF250F4"/>
    <w:rsid w:val="4AF30717"/>
    <w:rsid w:val="4AFA3F80"/>
    <w:rsid w:val="4B002C3A"/>
    <w:rsid w:val="4B026804"/>
    <w:rsid w:val="4B03068A"/>
    <w:rsid w:val="4B0346BA"/>
    <w:rsid w:val="4B04025E"/>
    <w:rsid w:val="4B045160"/>
    <w:rsid w:val="4B052A2F"/>
    <w:rsid w:val="4B055C00"/>
    <w:rsid w:val="4B0A2867"/>
    <w:rsid w:val="4B0C0DD8"/>
    <w:rsid w:val="4B122E05"/>
    <w:rsid w:val="4B135609"/>
    <w:rsid w:val="4B1606EF"/>
    <w:rsid w:val="4B1C67FA"/>
    <w:rsid w:val="4B1D2051"/>
    <w:rsid w:val="4B206A6B"/>
    <w:rsid w:val="4B297805"/>
    <w:rsid w:val="4B2C4BDE"/>
    <w:rsid w:val="4B2C6873"/>
    <w:rsid w:val="4B3529AA"/>
    <w:rsid w:val="4B3C403E"/>
    <w:rsid w:val="4B3D2ADF"/>
    <w:rsid w:val="4B417217"/>
    <w:rsid w:val="4B426FC8"/>
    <w:rsid w:val="4B4A1E20"/>
    <w:rsid w:val="4B4B77CC"/>
    <w:rsid w:val="4B4F2FCA"/>
    <w:rsid w:val="4B4F3F08"/>
    <w:rsid w:val="4B585189"/>
    <w:rsid w:val="4B595225"/>
    <w:rsid w:val="4B5B261F"/>
    <w:rsid w:val="4B6305EB"/>
    <w:rsid w:val="4B643275"/>
    <w:rsid w:val="4B687FD4"/>
    <w:rsid w:val="4B741C5B"/>
    <w:rsid w:val="4B7831B7"/>
    <w:rsid w:val="4B7B0348"/>
    <w:rsid w:val="4B811257"/>
    <w:rsid w:val="4B816D3B"/>
    <w:rsid w:val="4B821B36"/>
    <w:rsid w:val="4B827CCC"/>
    <w:rsid w:val="4B83233B"/>
    <w:rsid w:val="4B8A674C"/>
    <w:rsid w:val="4B8F1479"/>
    <w:rsid w:val="4B8F2EB1"/>
    <w:rsid w:val="4B924EC9"/>
    <w:rsid w:val="4B9419F7"/>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38F9"/>
    <w:rsid w:val="4C1F400D"/>
    <w:rsid w:val="4C2013C6"/>
    <w:rsid w:val="4C222801"/>
    <w:rsid w:val="4C233E2F"/>
    <w:rsid w:val="4C2744DE"/>
    <w:rsid w:val="4C2B02A7"/>
    <w:rsid w:val="4C2C0EBD"/>
    <w:rsid w:val="4C2D318E"/>
    <w:rsid w:val="4C366339"/>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B34"/>
    <w:rsid w:val="4C750FB7"/>
    <w:rsid w:val="4C79226D"/>
    <w:rsid w:val="4C7B0F88"/>
    <w:rsid w:val="4C7C25EF"/>
    <w:rsid w:val="4C804B21"/>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210FEA"/>
    <w:rsid w:val="4D243C2E"/>
    <w:rsid w:val="4D2455C8"/>
    <w:rsid w:val="4D2D3744"/>
    <w:rsid w:val="4D2D48CF"/>
    <w:rsid w:val="4D2D7483"/>
    <w:rsid w:val="4D2D7C2A"/>
    <w:rsid w:val="4D327C82"/>
    <w:rsid w:val="4D35524C"/>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E0D8B"/>
    <w:rsid w:val="4D5E313C"/>
    <w:rsid w:val="4D6046F9"/>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530FC"/>
    <w:rsid w:val="4E255B5C"/>
    <w:rsid w:val="4E31287B"/>
    <w:rsid w:val="4E357F6B"/>
    <w:rsid w:val="4E371BF7"/>
    <w:rsid w:val="4E387B7B"/>
    <w:rsid w:val="4E4268A0"/>
    <w:rsid w:val="4E450263"/>
    <w:rsid w:val="4E467BC9"/>
    <w:rsid w:val="4E48023D"/>
    <w:rsid w:val="4E4A43DD"/>
    <w:rsid w:val="4E4B6E3D"/>
    <w:rsid w:val="4E4D33C9"/>
    <w:rsid w:val="4E530E29"/>
    <w:rsid w:val="4E5516ED"/>
    <w:rsid w:val="4E5B1BFD"/>
    <w:rsid w:val="4E5C715A"/>
    <w:rsid w:val="4E5E1F38"/>
    <w:rsid w:val="4E5F36B7"/>
    <w:rsid w:val="4E6C140A"/>
    <w:rsid w:val="4E6C617F"/>
    <w:rsid w:val="4E6D099B"/>
    <w:rsid w:val="4E6D4DA7"/>
    <w:rsid w:val="4E7964A9"/>
    <w:rsid w:val="4E7D1F26"/>
    <w:rsid w:val="4E7F10F7"/>
    <w:rsid w:val="4E833A1C"/>
    <w:rsid w:val="4E8B5727"/>
    <w:rsid w:val="4E8D5B77"/>
    <w:rsid w:val="4E997FC2"/>
    <w:rsid w:val="4E9A16A3"/>
    <w:rsid w:val="4E9F5822"/>
    <w:rsid w:val="4E9F6EED"/>
    <w:rsid w:val="4EA4727C"/>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966CE"/>
    <w:rsid w:val="4F1A0622"/>
    <w:rsid w:val="4F1E4099"/>
    <w:rsid w:val="4F1E74EE"/>
    <w:rsid w:val="4F222296"/>
    <w:rsid w:val="4F232152"/>
    <w:rsid w:val="4F247513"/>
    <w:rsid w:val="4F256656"/>
    <w:rsid w:val="4F312150"/>
    <w:rsid w:val="4F333DDA"/>
    <w:rsid w:val="4F363754"/>
    <w:rsid w:val="4F394923"/>
    <w:rsid w:val="4F3A030D"/>
    <w:rsid w:val="4F3B3972"/>
    <w:rsid w:val="4F3B5033"/>
    <w:rsid w:val="4F40472E"/>
    <w:rsid w:val="4F4078EF"/>
    <w:rsid w:val="4F4331DE"/>
    <w:rsid w:val="4F4373C1"/>
    <w:rsid w:val="4F442E00"/>
    <w:rsid w:val="4F465945"/>
    <w:rsid w:val="4F4B1F01"/>
    <w:rsid w:val="4F4B3C13"/>
    <w:rsid w:val="4F4D5DDB"/>
    <w:rsid w:val="4F4D7D3A"/>
    <w:rsid w:val="4F515151"/>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70612"/>
    <w:rsid w:val="4F976963"/>
    <w:rsid w:val="4F9900E8"/>
    <w:rsid w:val="4F9E0B48"/>
    <w:rsid w:val="4FA057FA"/>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5EE1"/>
    <w:rsid w:val="4FD27897"/>
    <w:rsid w:val="4FD72D6F"/>
    <w:rsid w:val="4FD77297"/>
    <w:rsid w:val="4FDB0443"/>
    <w:rsid w:val="4FDC67FA"/>
    <w:rsid w:val="4FE465F0"/>
    <w:rsid w:val="4FE47BFB"/>
    <w:rsid w:val="4FE747AD"/>
    <w:rsid w:val="4FED181D"/>
    <w:rsid w:val="4FED1BB7"/>
    <w:rsid w:val="4FF100DC"/>
    <w:rsid w:val="4FF41CCB"/>
    <w:rsid w:val="4FF45C19"/>
    <w:rsid w:val="4FF565ED"/>
    <w:rsid w:val="4FF97445"/>
    <w:rsid w:val="4FFC052E"/>
    <w:rsid w:val="4FFC363D"/>
    <w:rsid w:val="4FFC718E"/>
    <w:rsid w:val="4FFE602C"/>
    <w:rsid w:val="50027A32"/>
    <w:rsid w:val="50051B4C"/>
    <w:rsid w:val="50082EF5"/>
    <w:rsid w:val="500D60A8"/>
    <w:rsid w:val="50140F0E"/>
    <w:rsid w:val="50174394"/>
    <w:rsid w:val="501A0BBE"/>
    <w:rsid w:val="501A21E0"/>
    <w:rsid w:val="501B6B9C"/>
    <w:rsid w:val="501C2AC4"/>
    <w:rsid w:val="501E1C31"/>
    <w:rsid w:val="5021442D"/>
    <w:rsid w:val="502226B7"/>
    <w:rsid w:val="5034215C"/>
    <w:rsid w:val="50344279"/>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715A85"/>
    <w:rsid w:val="50734618"/>
    <w:rsid w:val="5073496F"/>
    <w:rsid w:val="507D0723"/>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3009F"/>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75A5B"/>
    <w:rsid w:val="510B3924"/>
    <w:rsid w:val="51105275"/>
    <w:rsid w:val="511462DE"/>
    <w:rsid w:val="51152737"/>
    <w:rsid w:val="511934F5"/>
    <w:rsid w:val="511A650A"/>
    <w:rsid w:val="511C173D"/>
    <w:rsid w:val="511D2BDD"/>
    <w:rsid w:val="511D39C8"/>
    <w:rsid w:val="5120498A"/>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6447F"/>
    <w:rsid w:val="515842D5"/>
    <w:rsid w:val="515934C1"/>
    <w:rsid w:val="51627F0D"/>
    <w:rsid w:val="516E206D"/>
    <w:rsid w:val="51741E6C"/>
    <w:rsid w:val="51756972"/>
    <w:rsid w:val="517A63F0"/>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764E7"/>
    <w:rsid w:val="51F870A7"/>
    <w:rsid w:val="51F950A0"/>
    <w:rsid w:val="51F967B6"/>
    <w:rsid w:val="52013C23"/>
    <w:rsid w:val="52022324"/>
    <w:rsid w:val="5205030D"/>
    <w:rsid w:val="520C3ABF"/>
    <w:rsid w:val="520D17A8"/>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3E619B"/>
    <w:rsid w:val="52460689"/>
    <w:rsid w:val="5247336B"/>
    <w:rsid w:val="52476405"/>
    <w:rsid w:val="524A5C68"/>
    <w:rsid w:val="524E0FB6"/>
    <w:rsid w:val="52532968"/>
    <w:rsid w:val="525401C2"/>
    <w:rsid w:val="52546140"/>
    <w:rsid w:val="52572361"/>
    <w:rsid w:val="525734A2"/>
    <w:rsid w:val="525D3774"/>
    <w:rsid w:val="525F3DCF"/>
    <w:rsid w:val="525F53B1"/>
    <w:rsid w:val="526913E6"/>
    <w:rsid w:val="527008EF"/>
    <w:rsid w:val="52734368"/>
    <w:rsid w:val="52836832"/>
    <w:rsid w:val="52843C38"/>
    <w:rsid w:val="52847FDA"/>
    <w:rsid w:val="528B7F58"/>
    <w:rsid w:val="528D6C4E"/>
    <w:rsid w:val="52983F10"/>
    <w:rsid w:val="52985187"/>
    <w:rsid w:val="529921F1"/>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172A50"/>
    <w:rsid w:val="531A397A"/>
    <w:rsid w:val="531A546B"/>
    <w:rsid w:val="531B0D04"/>
    <w:rsid w:val="531C1B2E"/>
    <w:rsid w:val="532225EA"/>
    <w:rsid w:val="532274CE"/>
    <w:rsid w:val="53240747"/>
    <w:rsid w:val="532522FD"/>
    <w:rsid w:val="53275C7D"/>
    <w:rsid w:val="53293900"/>
    <w:rsid w:val="532D3BA5"/>
    <w:rsid w:val="53311BF2"/>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2113"/>
    <w:rsid w:val="5381746B"/>
    <w:rsid w:val="538459BE"/>
    <w:rsid w:val="53893051"/>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0EE"/>
    <w:rsid w:val="53DA4787"/>
    <w:rsid w:val="53DC05C0"/>
    <w:rsid w:val="53E033AC"/>
    <w:rsid w:val="53E30BD2"/>
    <w:rsid w:val="53E65ADF"/>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C5229"/>
    <w:rsid w:val="54406295"/>
    <w:rsid w:val="54412BF0"/>
    <w:rsid w:val="54422EDA"/>
    <w:rsid w:val="544417C9"/>
    <w:rsid w:val="54475EA1"/>
    <w:rsid w:val="54514458"/>
    <w:rsid w:val="54564266"/>
    <w:rsid w:val="545C2441"/>
    <w:rsid w:val="545F158C"/>
    <w:rsid w:val="5460480E"/>
    <w:rsid w:val="54682008"/>
    <w:rsid w:val="546A78D3"/>
    <w:rsid w:val="546C3784"/>
    <w:rsid w:val="54752A10"/>
    <w:rsid w:val="54754A6A"/>
    <w:rsid w:val="54763D33"/>
    <w:rsid w:val="54767E31"/>
    <w:rsid w:val="54781903"/>
    <w:rsid w:val="547C735D"/>
    <w:rsid w:val="547F2B1F"/>
    <w:rsid w:val="54873CA0"/>
    <w:rsid w:val="548A1E4E"/>
    <w:rsid w:val="548C32AB"/>
    <w:rsid w:val="548D2275"/>
    <w:rsid w:val="548D289E"/>
    <w:rsid w:val="54910BA4"/>
    <w:rsid w:val="5494163A"/>
    <w:rsid w:val="549A0616"/>
    <w:rsid w:val="549B144B"/>
    <w:rsid w:val="549B20E6"/>
    <w:rsid w:val="549E4DCB"/>
    <w:rsid w:val="54A60315"/>
    <w:rsid w:val="54AE07B7"/>
    <w:rsid w:val="54B86248"/>
    <w:rsid w:val="54BB1089"/>
    <w:rsid w:val="54C24B82"/>
    <w:rsid w:val="54C46F6D"/>
    <w:rsid w:val="54C50B9C"/>
    <w:rsid w:val="54C76ED6"/>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4D81"/>
    <w:rsid w:val="54E925A9"/>
    <w:rsid w:val="54E95BA4"/>
    <w:rsid w:val="54EE0FDE"/>
    <w:rsid w:val="54FE7371"/>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56295"/>
    <w:rsid w:val="554D7803"/>
    <w:rsid w:val="55516532"/>
    <w:rsid w:val="55540941"/>
    <w:rsid w:val="5556624F"/>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B353EE"/>
    <w:rsid w:val="55B85ACE"/>
    <w:rsid w:val="55B952E9"/>
    <w:rsid w:val="55BE6A5B"/>
    <w:rsid w:val="55C07A6A"/>
    <w:rsid w:val="55C10503"/>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56D0E"/>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446A3"/>
    <w:rsid w:val="564956BB"/>
    <w:rsid w:val="5649734E"/>
    <w:rsid w:val="564E3688"/>
    <w:rsid w:val="56514294"/>
    <w:rsid w:val="5653419D"/>
    <w:rsid w:val="5654476A"/>
    <w:rsid w:val="565716EB"/>
    <w:rsid w:val="565767DB"/>
    <w:rsid w:val="56581695"/>
    <w:rsid w:val="566355DD"/>
    <w:rsid w:val="56662DA4"/>
    <w:rsid w:val="56680BC9"/>
    <w:rsid w:val="566926ED"/>
    <w:rsid w:val="566D6B7A"/>
    <w:rsid w:val="567043C4"/>
    <w:rsid w:val="56710EA4"/>
    <w:rsid w:val="567119B3"/>
    <w:rsid w:val="56712DE1"/>
    <w:rsid w:val="56727839"/>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87954"/>
    <w:rsid w:val="56BB18CA"/>
    <w:rsid w:val="56BE22AD"/>
    <w:rsid w:val="56BF1F76"/>
    <w:rsid w:val="56C0283E"/>
    <w:rsid w:val="56C05533"/>
    <w:rsid w:val="56C16A0C"/>
    <w:rsid w:val="56C61BEC"/>
    <w:rsid w:val="56D20BDD"/>
    <w:rsid w:val="56D418EA"/>
    <w:rsid w:val="56D43345"/>
    <w:rsid w:val="56D570ED"/>
    <w:rsid w:val="56E358E7"/>
    <w:rsid w:val="56E365E9"/>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30C79"/>
    <w:rsid w:val="57356E87"/>
    <w:rsid w:val="573A01AE"/>
    <w:rsid w:val="573A1BD7"/>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23505"/>
    <w:rsid w:val="58463E71"/>
    <w:rsid w:val="5848285C"/>
    <w:rsid w:val="5849658F"/>
    <w:rsid w:val="584A0C32"/>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15082"/>
    <w:rsid w:val="58B238F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41A1C"/>
    <w:rsid w:val="5914243C"/>
    <w:rsid w:val="591531CC"/>
    <w:rsid w:val="59155C2B"/>
    <w:rsid w:val="59167FCE"/>
    <w:rsid w:val="591914BD"/>
    <w:rsid w:val="591918E5"/>
    <w:rsid w:val="5919231D"/>
    <w:rsid w:val="591B200C"/>
    <w:rsid w:val="591D26B7"/>
    <w:rsid w:val="592171CD"/>
    <w:rsid w:val="592A4996"/>
    <w:rsid w:val="592A53F3"/>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32BB5"/>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3A8B"/>
    <w:rsid w:val="5A035174"/>
    <w:rsid w:val="5A061239"/>
    <w:rsid w:val="5A09550A"/>
    <w:rsid w:val="5A0A1F2D"/>
    <w:rsid w:val="5A16478D"/>
    <w:rsid w:val="5A181C1F"/>
    <w:rsid w:val="5A1867FB"/>
    <w:rsid w:val="5A1B55E1"/>
    <w:rsid w:val="5A1D7220"/>
    <w:rsid w:val="5A265B9B"/>
    <w:rsid w:val="5A2718A2"/>
    <w:rsid w:val="5A2F2E3C"/>
    <w:rsid w:val="5A30747B"/>
    <w:rsid w:val="5A307F24"/>
    <w:rsid w:val="5A321BC1"/>
    <w:rsid w:val="5A324E7D"/>
    <w:rsid w:val="5A3559F8"/>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AF0085"/>
    <w:rsid w:val="5AB143A8"/>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723A4"/>
    <w:rsid w:val="5BCD5F99"/>
    <w:rsid w:val="5BCF7BF9"/>
    <w:rsid w:val="5BD45122"/>
    <w:rsid w:val="5BD90725"/>
    <w:rsid w:val="5BDA0619"/>
    <w:rsid w:val="5BDB30C2"/>
    <w:rsid w:val="5BDB68AA"/>
    <w:rsid w:val="5BDC6444"/>
    <w:rsid w:val="5BDD3EA9"/>
    <w:rsid w:val="5BE06C40"/>
    <w:rsid w:val="5BE25792"/>
    <w:rsid w:val="5BE367C6"/>
    <w:rsid w:val="5BE6132E"/>
    <w:rsid w:val="5BEB0994"/>
    <w:rsid w:val="5BEB711B"/>
    <w:rsid w:val="5BF069A9"/>
    <w:rsid w:val="5BF2577B"/>
    <w:rsid w:val="5BFF68A2"/>
    <w:rsid w:val="5C010EEF"/>
    <w:rsid w:val="5C062C85"/>
    <w:rsid w:val="5C0D1FAC"/>
    <w:rsid w:val="5C0D3C7C"/>
    <w:rsid w:val="5C0F3C27"/>
    <w:rsid w:val="5C126A47"/>
    <w:rsid w:val="5C152995"/>
    <w:rsid w:val="5C1857EE"/>
    <w:rsid w:val="5C185F94"/>
    <w:rsid w:val="5C192189"/>
    <w:rsid w:val="5C1A0B69"/>
    <w:rsid w:val="5C1C7AB3"/>
    <w:rsid w:val="5C1D79BD"/>
    <w:rsid w:val="5C211B28"/>
    <w:rsid w:val="5C2446EA"/>
    <w:rsid w:val="5C2A116B"/>
    <w:rsid w:val="5C2C51CA"/>
    <w:rsid w:val="5C2E0ABA"/>
    <w:rsid w:val="5C313602"/>
    <w:rsid w:val="5C324D96"/>
    <w:rsid w:val="5C3A18CA"/>
    <w:rsid w:val="5C3A18DF"/>
    <w:rsid w:val="5C3E5639"/>
    <w:rsid w:val="5C3E73FE"/>
    <w:rsid w:val="5C4302AF"/>
    <w:rsid w:val="5C463F6A"/>
    <w:rsid w:val="5C496E06"/>
    <w:rsid w:val="5C501594"/>
    <w:rsid w:val="5C522BE4"/>
    <w:rsid w:val="5C536E44"/>
    <w:rsid w:val="5C571A41"/>
    <w:rsid w:val="5C574D75"/>
    <w:rsid w:val="5C5D5D6D"/>
    <w:rsid w:val="5C60120B"/>
    <w:rsid w:val="5C63455C"/>
    <w:rsid w:val="5C635952"/>
    <w:rsid w:val="5C6652E6"/>
    <w:rsid w:val="5C690B0C"/>
    <w:rsid w:val="5C7103F1"/>
    <w:rsid w:val="5C7215A0"/>
    <w:rsid w:val="5C73277D"/>
    <w:rsid w:val="5C7902CA"/>
    <w:rsid w:val="5C7C5E2E"/>
    <w:rsid w:val="5C884129"/>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E554A"/>
    <w:rsid w:val="5D004FD7"/>
    <w:rsid w:val="5D0370EB"/>
    <w:rsid w:val="5D0C3D3D"/>
    <w:rsid w:val="5D0E426F"/>
    <w:rsid w:val="5D0F3CF6"/>
    <w:rsid w:val="5D1102F0"/>
    <w:rsid w:val="5D1315D5"/>
    <w:rsid w:val="5D1A5C4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13F7F"/>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2195"/>
    <w:rsid w:val="5DB72CEA"/>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D475B"/>
    <w:rsid w:val="5E511FF2"/>
    <w:rsid w:val="5E567FDB"/>
    <w:rsid w:val="5E585064"/>
    <w:rsid w:val="5E5B2D24"/>
    <w:rsid w:val="5E5E337E"/>
    <w:rsid w:val="5E610076"/>
    <w:rsid w:val="5E6177B3"/>
    <w:rsid w:val="5E623C9A"/>
    <w:rsid w:val="5E663BDB"/>
    <w:rsid w:val="5E677EDC"/>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700AE"/>
    <w:rsid w:val="5EC74CCA"/>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B11875"/>
    <w:rsid w:val="5FB372F0"/>
    <w:rsid w:val="5FBD61BC"/>
    <w:rsid w:val="5FC017AD"/>
    <w:rsid w:val="5FC06AB4"/>
    <w:rsid w:val="5FC142EE"/>
    <w:rsid w:val="5FD763E3"/>
    <w:rsid w:val="5FD7706A"/>
    <w:rsid w:val="5FDA46C8"/>
    <w:rsid w:val="5FDB4F3D"/>
    <w:rsid w:val="5FDC0ABD"/>
    <w:rsid w:val="5FE10819"/>
    <w:rsid w:val="5FE30BA2"/>
    <w:rsid w:val="5FE6571C"/>
    <w:rsid w:val="5FED0719"/>
    <w:rsid w:val="5FEF04AA"/>
    <w:rsid w:val="5FF27FE4"/>
    <w:rsid w:val="5FF36493"/>
    <w:rsid w:val="5FF85070"/>
    <w:rsid w:val="5FF9333C"/>
    <w:rsid w:val="5FFB474F"/>
    <w:rsid w:val="5FFF3597"/>
    <w:rsid w:val="60006973"/>
    <w:rsid w:val="60050D64"/>
    <w:rsid w:val="60063A1D"/>
    <w:rsid w:val="6007124A"/>
    <w:rsid w:val="6007496A"/>
    <w:rsid w:val="600870EA"/>
    <w:rsid w:val="600B4871"/>
    <w:rsid w:val="600D179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565B3E"/>
    <w:rsid w:val="605E7523"/>
    <w:rsid w:val="605F164B"/>
    <w:rsid w:val="60682124"/>
    <w:rsid w:val="606A3E56"/>
    <w:rsid w:val="606B1CB6"/>
    <w:rsid w:val="6073189D"/>
    <w:rsid w:val="60736A2F"/>
    <w:rsid w:val="607443D2"/>
    <w:rsid w:val="6075702F"/>
    <w:rsid w:val="60792BB0"/>
    <w:rsid w:val="607A48AD"/>
    <w:rsid w:val="607C742A"/>
    <w:rsid w:val="607D0570"/>
    <w:rsid w:val="60801EB9"/>
    <w:rsid w:val="60836310"/>
    <w:rsid w:val="60884273"/>
    <w:rsid w:val="60894587"/>
    <w:rsid w:val="608A3E41"/>
    <w:rsid w:val="608B6649"/>
    <w:rsid w:val="60913BAC"/>
    <w:rsid w:val="609822C1"/>
    <w:rsid w:val="60990BD7"/>
    <w:rsid w:val="609D4C24"/>
    <w:rsid w:val="60A11B40"/>
    <w:rsid w:val="60A20F88"/>
    <w:rsid w:val="60A3504C"/>
    <w:rsid w:val="60AB2669"/>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060"/>
    <w:rsid w:val="61221436"/>
    <w:rsid w:val="61224A99"/>
    <w:rsid w:val="612369B4"/>
    <w:rsid w:val="61293789"/>
    <w:rsid w:val="612C5770"/>
    <w:rsid w:val="612D25D8"/>
    <w:rsid w:val="613A74B9"/>
    <w:rsid w:val="613C1C4E"/>
    <w:rsid w:val="613C418D"/>
    <w:rsid w:val="613E1D86"/>
    <w:rsid w:val="613F585A"/>
    <w:rsid w:val="6147048D"/>
    <w:rsid w:val="614D3232"/>
    <w:rsid w:val="614F005B"/>
    <w:rsid w:val="615132D9"/>
    <w:rsid w:val="61547574"/>
    <w:rsid w:val="615643FF"/>
    <w:rsid w:val="615D7476"/>
    <w:rsid w:val="615F7EE9"/>
    <w:rsid w:val="61612929"/>
    <w:rsid w:val="61643743"/>
    <w:rsid w:val="616A5B5D"/>
    <w:rsid w:val="61725159"/>
    <w:rsid w:val="61731D66"/>
    <w:rsid w:val="61747347"/>
    <w:rsid w:val="617C37F4"/>
    <w:rsid w:val="617E6243"/>
    <w:rsid w:val="61843430"/>
    <w:rsid w:val="618F45CD"/>
    <w:rsid w:val="619107C8"/>
    <w:rsid w:val="61965727"/>
    <w:rsid w:val="619A086F"/>
    <w:rsid w:val="619B06DA"/>
    <w:rsid w:val="619B6580"/>
    <w:rsid w:val="619E4160"/>
    <w:rsid w:val="619F7ACD"/>
    <w:rsid w:val="61A13384"/>
    <w:rsid w:val="61A866D6"/>
    <w:rsid w:val="61AA52DF"/>
    <w:rsid w:val="61AC0061"/>
    <w:rsid w:val="61AC2470"/>
    <w:rsid w:val="61AD77BF"/>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2DD"/>
    <w:rsid w:val="61E069EE"/>
    <w:rsid w:val="61E363D8"/>
    <w:rsid w:val="61E43009"/>
    <w:rsid w:val="61E83ED6"/>
    <w:rsid w:val="61EC6B91"/>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F751F"/>
    <w:rsid w:val="62423062"/>
    <w:rsid w:val="62432C4C"/>
    <w:rsid w:val="62445F7C"/>
    <w:rsid w:val="6245610A"/>
    <w:rsid w:val="624871FD"/>
    <w:rsid w:val="6249271C"/>
    <w:rsid w:val="62495E96"/>
    <w:rsid w:val="624E7508"/>
    <w:rsid w:val="62515B94"/>
    <w:rsid w:val="62562017"/>
    <w:rsid w:val="62567309"/>
    <w:rsid w:val="62570F9F"/>
    <w:rsid w:val="6257242E"/>
    <w:rsid w:val="62580196"/>
    <w:rsid w:val="62587119"/>
    <w:rsid w:val="625E4138"/>
    <w:rsid w:val="6263351F"/>
    <w:rsid w:val="62633B17"/>
    <w:rsid w:val="626E1485"/>
    <w:rsid w:val="627077FA"/>
    <w:rsid w:val="62750040"/>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263F25"/>
    <w:rsid w:val="63265044"/>
    <w:rsid w:val="632B7C35"/>
    <w:rsid w:val="63314429"/>
    <w:rsid w:val="633A0420"/>
    <w:rsid w:val="633A6B15"/>
    <w:rsid w:val="633B5504"/>
    <w:rsid w:val="633E468C"/>
    <w:rsid w:val="633F55D8"/>
    <w:rsid w:val="6341499B"/>
    <w:rsid w:val="63416F64"/>
    <w:rsid w:val="63430456"/>
    <w:rsid w:val="634325ED"/>
    <w:rsid w:val="63443AEC"/>
    <w:rsid w:val="634802B3"/>
    <w:rsid w:val="63490B77"/>
    <w:rsid w:val="634A6809"/>
    <w:rsid w:val="635339A8"/>
    <w:rsid w:val="63554BAF"/>
    <w:rsid w:val="6357400C"/>
    <w:rsid w:val="63574F6E"/>
    <w:rsid w:val="635C1B93"/>
    <w:rsid w:val="635C28DF"/>
    <w:rsid w:val="635E544C"/>
    <w:rsid w:val="63602152"/>
    <w:rsid w:val="636075B2"/>
    <w:rsid w:val="636A0F15"/>
    <w:rsid w:val="636B6090"/>
    <w:rsid w:val="636E75C9"/>
    <w:rsid w:val="6377373A"/>
    <w:rsid w:val="637A63EB"/>
    <w:rsid w:val="63812A61"/>
    <w:rsid w:val="6385218B"/>
    <w:rsid w:val="63864A92"/>
    <w:rsid w:val="638C16E5"/>
    <w:rsid w:val="638F22B7"/>
    <w:rsid w:val="639154D4"/>
    <w:rsid w:val="63933614"/>
    <w:rsid w:val="63991163"/>
    <w:rsid w:val="63993990"/>
    <w:rsid w:val="639A1276"/>
    <w:rsid w:val="639A34E0"/>
    <w:rsid w:val="639D6B08"/>
    <w:rsid w:val="63A65D5A"/>
    <w:rsid w:val="63AB1FE1"/>
    <w:rsid w:val="63AC7FA8"/>
    <w:rsid w:val="63B5452C"/>
    <w:rsid w:val="63B76AE2"/>
    <w:rsid w:val="63B81094"/>
    <w:rsid w:val="63BD439C"/>
    <w:rsid w:val="63BD5BBB"/>
    <w:rsid w:val="63C0331D"/>
    <w:rsid w:val="63C20DCE"/>
    <w:rsid w:val="63C41DD1"/>
    <w:rsid w:val="63C43E59"/>
    <w:rsid w:val="63C72372"/>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93316"/>
    <w:rsid w:val="641E2F9B"/>
    <w:rsid w:val="641F6408"/>
    <w:rsid w:val="64231C35"/>
    <w:rsid w:val="64267B2C"/>
    <w:rsid w:val="642C2369"/>
    <w:rsid w:val="6435158C"/>
    <w:rsid w:val="64361A2B"/>
    <w:rsid w:val="643E73D7"/>
    <w:rsid w:val="64477E7E"/>
    <w:rsid w:val="644C64F7"/>
    <w:rsid w:val="644E7565"/>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97D48"/>
    <w:rsid w:val="648B5C8D"/>
    <w:rsid w:val="649040B2"/>
    <w:rsid w:val="6490534C"/>
    <w:rsid w:val="64932164"/>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70EC1"/>
    <w:rsid w:val="64C91401"/>
    <w:rsid w:val="64CD2D4A"/>
    <w:rsid w:val="64CE720C"/>
    <w:rsid w:val="64D00401"/>
    <w:rsid w:val="64D03E07"/>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064EB"/>
    <w:rsid w:val="65230CC1"/>
    <w:rsid w:val="65230E19"/>
    <w:rsid w:val="65260B2E"/>
    <w:rsid w:val="6529782D"/>
    <w:rsid w:val="653A7CE0"/>
    <w:rsid w:val="653C1600"/>
    <w:rsid w:val="653F2910"/>
    <w:rsid w:val="653F3F4B"/>
    <w:rsid w:val="65442614"/>
    <w:rsid w:val="65483234"/>
    <w:rsid w:val="655A3450"/>
    <w:rsid w:val="655B2CF8"/>
    <w:rsid w:val="655E4E68"/>
    <w:rsid w:val="655E5BA3"/>
    <w:rsid w:val="656503D7"/>
    <w:rsid w:val="6568546B"/>
    <w:rsid w:val="656A73CE"/>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46833"/>
    <w:rsid w:val="65CB0D03"/>
    <w:rsid w:val="65D02159"/>
    <w:rsid w:val="65D255AC"/>
    <w:rsid w:val="65D857B8"/>
    <w:rsid w:val="65E66143"/>
    <w:rsid w:val="65E731DB"/>
    <w:rsid w:val="65E94987"/>
    <w:rsid w:val="65EB61D4"/>
    <w:rsid w:val="65EF690E"/>
    <w:rsid w:val="65F04330"/>
    <w:rsid w:val="65F20F15"/>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240622"/>
    <w:rsid w:val="662411BF"/>
    <w:rsid w:val="66267DC1"/>
    <w:rsid w:val="66275E7C"/>
    <w:rsid w:val="66292B84"/>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063A0"/>
    <w:rsid w:val="66A31556"/>
    <w:rsid w:val="66AB4650"/>
    <w:rsid w:val="66AD7E00"/>
    <w:rsid w:val="66AE0E29"/>
    <w:rsid w:val="66AF5BE1"/>
    <w:rsid w:val="66B40759"/>
    <w:rsid w:val="66B711AC"/>
    <w:rsid w:val="66B879B4"/>
    <w:rsid w:val="66BB6588"/>
    <w:rsid w:val="66C16711"/>
    <w:rsid w:val="66C26246"/>
    <w:rsid w:val="66C375BF"/>
    <w:rsid w:val="66C41A17"/>
    <w:rsid w:val="66C4254D"/>
    <w:rsid w:val="66C7149A"/>
    <w:rsid w:val="66C9321B"/>
    <w:rsid w:val="66CB6297"/>
    <w:rsid w:val="66CC4487"/>
    <w:rsid w:val="66CE5C26"/>
    <w:rsid w:val="66CF4B91"/>
    <w:rsid w:val="66D40FE2"/>
    <w:rsid w:val="66D57F1E"/>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920F2"/>
    <w:rsid w:val="672D7681"/>
    <w:rsid w:val="6730372A"/>
    <w:rsid w:val="67344028"/>
    <w:rsid w:val="67392A66"/>
    <w:rsid w:val="6743130C"/>
    <w:rsid w:val="674905AC"/>
    <w:rsid w:val="67496F8C"/>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906049"/>
    <w:rsid w:val="67997FFC"/>
    <w:rsid w:val="679B4BE7"/>
    <w:rsid w:val="67B0143C"/>
    <w:rsid w:val="67B101FC"/>
    <w:rsid w:val="67B12426"/>
    <w:rsid w:val="67B270D1"/>
    <w:rsid w:val="67BC3207"/>
    <w:rsid w:val="67BD009C"/>
    <w:rsid w:val="67BD0AFF"/>
    <w:rsid w:val="67BF3609"/>
    <w:rsid w:val="67C00B00"/>
    <w:rsid w:val="67C71D7A"/>
    <w:rsid w:val="67C80310"/>
    <w:rsid w:val="67CF2517"/>
    <w:rsid w:val="67CF3A50"/>
    <w:rsid w:val="67D03558"/>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2485"/>
    <w:rsid w:val="67F55A05"/>
    <w:rsid w:val="67FB0F97"/>
    <w:rsid w:val="67FB628E"/>
    <w:rsid w:val="68000F12"/>
    <w:rsid w:val="68012262"/>
    <w:rsid w:val="68065D52"/>
    <w:rsid w:val="68075D9C"/>
    <w:rsid w:val="680A41A4"/>
    <w:rsid w:val="680E4C61"/>
    <w:rsid w:val="680F5FD5"/>
    <w:rsid w:val="6810136D"/>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B4C17"/>
    <w:rsid w:val="689F4CC7"/>
    <w:rsid w:val="68A01296"/>
    <w:rsid w:val="68A41E22"/>
    <w:rsid w:val="68A97007"/>
    <w:rsid w:val="68AE2BE9"/>
    <w:rsid w:val="68B14444"/>
    <w:rsid w:val="68B229A4"/>
    <w:rsid w:val="68B478A9"/>
    <w:rsid w:val="68BA6A04"/>
    <w:rsid w:val="68BC201A"/>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43CE8"/>
    <w:rsid w:val="68E600E0"/>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2E62F6"/>
    <w:rsid w:val="69327460"/>
    <w:rsid w:val="69337B4A"/>
    <w:rsid w:val="693A0AAA"/>
    <w:rsid w:val="693A7B08"/>
    <w:rsid w:val="693C4AC3"/>
    <w:rsid w:val="693F5E7E"/>
    <w:rsid w:val="694101FB"/>
    <w:rsid w:val="69426864"/>
    <w:rsid w:val="69442DC6"/>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A15775"/>
    <w:rsid w:val="69A36FC5"/>
    <w:rsid w:val="69AB6055"/>
    <w:rsid w:val="69B25CE5"/>
    <w:rsid w:val="69B649A4"/>
    <w:rsid w:val="69B72837"/>
    <w:rsid w:val="69C026AD"/>
    <w:rsid w:val="69C15A5B"/>
    <w:rsid w:val="69C40C44"/>
    <w:rsid w:val="69C4366B"/>
    <w:rsid w:val="69CD0DFA"/>
    <w:rsid w:val="69D07C33"/>
    <w:rsid w:val="69D24B9B"/>
    <w:rsid w:val="69D5474D"/>
    <w:rsid w:val="69D64B50"/>
    <w:rsid w:val="69D87485"/>
    <w:rsid w:val="69D9615A"/>
    <w:rsid w:val="69DA312F"/>
    <w:rsid w:val="69DB1C7B"/>
    <w:rsid w:val="69DB51C3"/>
    <w:rsid w:val="69DF1A84"/>
    <w:rsid w:val="69E74BA2"/>
    <w:rsid w:val="69E96D68"/>
    <w:rsid w:val="69EE1071"/>
    <w:rsid w:val="69F2148A"/>
    <w:rsid w:val="69F86274"/>
    <w:rsid w:val="69F93223"/>
    <w:rsid w:val="69FF1B34"/>
    <w:rsid w:val="6A11122C"/>
    <w:rsid w:val="6A145E00"/>
    <w:rsid w:val="6A177B05"/>
    <w:rsid w:val="6A193D7A"/>
    <w:rsid w:val="6A1C022B"/>
    <w:rsid w:val="6A221A16"/>
    <w:rsid w:val="6A257487"/>
    <w:rsid w:val="6A276108"/>
    <w:rsid w:val="6A292BE4"/>
    <w:rsid w:val="6A2A4ADC"/>
    <w:rsid w:val="6A2A5F02"/>
    <w:rsid w:val="6A2A61CB"/>
    <w:rsid w:val="6A2F3F03"/>
    <w:rsid w:val="6A3465B9"/>
    <w:rsid w:val="6A3671C9"/>
    <w:rsid w:val="6A3832AF"/>
    <w:rsid w:val="6A3A6116"/>
    <w:rsid w:val="6A3F42F3"/>
    <w:rsid w:val="6A404E3D"/>
    <w:rsid w:val="6A4574D8"/>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66B2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0BCD"/>
    <w:rsid w:val="6B484B34"/>
    <w:rsid w:val="6B4C712F"/>
    <w:rsid w:val="6B4E38C6"/>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0514C"/>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85D43"/>
    <w:rsid w:val="6BFE4BB6"/>
    <w:rsid w:val="6C042D16"/>
    <w:rsid w:val="6C04547D"/>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0E62"/>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74442"/>
    <w:rsid w:val="6C9827C3"/>
    <w:rsid w:val="6C9D6C0C"/>
    <w:rsid w:val="6C9F1981"/>
    <w:rsid w:val="6C9F6E83"/>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71806"/>
    <w:rsid w:val="6CEC0B1B"/>
    <w:rsid w:val="6CEC3EFD"/>
    <w:rsid w:val="6CED5A19"/>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D0576"/>
    <w:rsid w:val="6D1F26CE"/>
    <w:rsid w:val="6D2001F2"/>
    <w:rsid w:val="6D2141AF"/>
    <w:rsid w:val="6D214E93"/>
    <w:rsid w:val="6D2347A7"/>
    <w:rsid w:val="6D234A39"/>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F77B2"/>
    <w:rsid w:val="6DA22A3B"/>
    <w:rsid w:val="6DA815FD"/>
    <w:rsid w:val="6DB43CBF"/>
    <w:rsid w:val="6DB65267"/>
    <w:rsid w:val="6DBA2144"/>
    <w:rsid w:val="6DBE7C28"/>
    <w:rsid w:val="6DC24B1B"/>
    <w:rsid w:val="6DC616C6"/>
    <w:rsid w:val="6DC822B5"/>
    <w:rsid w:val="6DC869CE"/>
    <w:rsid w:val="6DCA662C"/>
    <w:rsid w:val="6DCB0323"/>
    <w:rsid w:val="6DCF2EC8"/>
    <w:rsid w:val="6DD06258"/>
    <w:rsid w:val="6DD14EEB"/>
    <w:rsid w:val="6DD54A74"/>
    <w:rsid w:val="6DDA10DC"/>
    <w:rsid w:val="6DDB452C"/>
    <w:rsid w:val="6DDF0934"/>
    <w:rsid w:val="6DE140AB"/>
    <w:rsid w:val="6DE1781C"/>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9484D"/>
    <w:rsid w:val="6E3D153A"/>
    <w:rsid w:val="6E3D457A"/>
    <w:rsid w:val="6E4062BB"/>
    <w:rsid w:val="6E42444B"/>
    <w:rsid w:val="6E456023"/>
    <w:rsid w:val="6E4629D1"/>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73331"/>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2246AE"/>
    <w:rsid w:val="6F2E08DA"/>
    <w:rsid w:val="6F32698F"/>
    <w:rsid w:val="6F327424"/>
    <w:rsid w:val="6F384EB8"/>
    <w:rsid w:val="6F3C0E50"/>
    <w:rsid w:val="6F3E5385"/>
    <w:rsid w:val="6F4000EC"/>
    <w:rsid w:val="6F461E51"/>
    <w:rsid w:val="6F480882"/>
    <w:rsid w:val="6F48148F"/>
    <w:rsid w:val="6F4F4C2D"/>
    <w:rsid w:val="6F506CA5"/>
    <w:rsid w:val="6F52797F"/>
    <w:rsid w:val="6F5334ED"/>
    <w:rsid w:val="6F552A1B"/>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0699"/>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83246"/>
    <w:rsid w:val="6FE91832"/>
    <w:rsid w:val="6FEB3C07"/>
    <w:rsid w:val="6FF07145"/>
    <w:rsid w:val="6FF15C82"/>
    <w:rsid w:val="6FF74058"/>
    <w:rsid w:val="6FF850BA"/>
    <w:rsid w:val="6FF93E79"/>
    <w:rsid w:val="6FFD13E7"/>
    <w:rsid w:val="6FFE1680"/>
    <w:rsid w:val="70035B63"/>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507F66"/>
    <w:rsid w:val="70513178"/>
    <w:rsid w:val="70572E91"/>
    <w:rsid w:val="7060303C"/>
    <w:rsid w:val="70654A23"/>
    <w:rsid w:val="70667224"/>
    <w:rsid w:val="706A1F04"/>
    <w:rsid w:val="706A7BF5"/>
    <w:rsid w:val="70711F9A"/>
    <w:rsid w:val="707227EF"/>
    <w:rsid w:val="70764871"/>
    <w:rsid w:val="707673F6"/>
    <w:rsid w:val="7077525B"/>
    <w:rsid w:val="70790154"/>
    <w:rsid w:val="707C2F7E"/>
    <w:rsid w:val="707E4AF9"/>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31804"/>
    <w:rsid w:val="70BD7981"/>
    <w:rsid w:val="70C14F6B"/>
    <w:rsid w:val="70C16194"/>
    <w:rsid w:val="70C17302"/>
    <w:rsid w:val="70CD0CF0"/>
    <w:rsid w:val="70CD1E07"/>
    <w:rsid w:val="70CD7510"/>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56F"/>
    <w:rsid w:val="71463FC2"/>
    <w:rsid w:val="71472EFE"/>
    <w:rsid w:val="7148016B"/>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A0266"/>
    <w:rsid w:val="716B3350"/>
    <w:rsid w:val="716F6576"/>
    <w:rsid w:val="716F72EE"/>
    <w:rsid w:val="71734806"/>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77993"/>
    <w:rsid w:val="71BA31E1"/>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5D1C13"/>
    <w:rsid w:val="72603ACC"/>
    <w:rsid w:val="726048F1"/>
    <w:rsid w:val="7264705B"/>
    <w:rsid w:val="726843AE"/>
    <w:rsid w:val="72854082"/>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0C0128"/>
    <w:rsid w:val="73117F42"/>
    <w:rsid w:val="73144954"/>
    <w:rsid w:val="731666BA"/>
    <w:rsid w:val="73166B31"/>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B22D3"/>
    <w:rsid w:val="739C1D97"/>
    <w:rsid w:val="73A649F0"/>
    <w:rsid w:val="73A760F2"/>
    <w:rsid w:val="73AD6947"/>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F97199"/>
    <w:rsid w:val="73FA0DAA"/>
    <w:rsid w:val="73FB34BE"/>
    <w:rsid w:val="73FF104A"/>
    <w:rsid w:val="740559D0"/>
    <w:rsid w:val="74084055"/>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4E4E06"/>
    <w:rsid w:val="74502B4C"/>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8D156D"/>
    <w:rsid w:val="74903C13"/>
    <w:rsid w:val="74957A0A"/>
    <w:rsid w:val="74992890"/>
    <w:rsid w:val="749C551A"/>
    <w:rsid w:val="749E3BB4"/>
    <w:rsid w:val="74A01F2F"/>
    <w:rsid w:val="74A43647"/>
    <w:rsid w:val="74A83DF8"/>
    <w:rsid w:val="74A85617"/>
    <w:rsid w:val="74AB1458"/>
    <w:rsid w:val="74AF19B2"/>
    <w:rsid w:val="74B33364"/>
    <w:rsid w:val="74B66B6D"/>
    <w:rsid w:val="74B81999"/>
    <w:rsid w:val="74BC376B"/>
    <w:rsid w:val="74BC3D40"/>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81445"/>
    <w:rsid w:val="751A36F4"/>
    <w:rsid w:val="751C7D45"/>
    <w:rsid w:val="752546B5"/>
    <w:rsid w:val="752C3826"/>
    <w:rsid w:val="752F371C"/>
    <w:rsid w:val="753657D5"/>
    <w:rsid w:val="753A4DD0"/>
    <w:rsid w:val="753D607A"/>
    <w:rsid w:val="753E2B84"/>
    <w:rsid w:val="75406B1F"/>
    <w:rsid w:val="7542280E"/>
    <w:rsid w:val="75427FDF"/>
    <w:rsid w:val="7545531A"/>
    <w:rsid w:val="75470EE6"/>
    <w:rsid w:val="754C552D"/>
    <w:rsid w:val="754C589C"/>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81013"/>
    <w:rsid w:val="75B921DA"/>
    <w:rsid w:val="75B933FE"/>
    <w:rsid w:val="75B96690"/>
    <w:rsid w:val="75B977C5"/>
    <w:rsid w:val="75BE3B96"/>
    <w:rsid w:val="75BF2B77"/>
    <w:rsid w:val="75C5102B"/>
    <w:rsid w:val="75CA76E4"/>
    <w:rsid w:val="75CD25B0"/>
    <w:rsid w:val="75D0034E"/>
    <w:rsid w:val="75D0763F"/>
    <w:rsid w:val="75D30E54"/>
    <w:rsid w:val="75D71109"/>
    <w:rsid w:val="75DB5530"/>
    <w:rsid w:val="75E007CE"/>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22CE8"/>
    <w:rsid w:val="76391262"/>
    <w:rsid w:val="763B0284"/>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C20F6"/>
    <w:rsid w:val="765D3600"/>
    <w:rsid w:val="76621F9A"/>
    <w:rsid w:val="76634C58"/>
    <w:rsid w:val="766B3DFC"/>
    <w:rsid w:val="766C38AC"/>
    <w:rsid w:val="76710E80"/>
    <w:rsid w:val="76721D4F"/>
    <w:rsid w:val="76755C2C"/>
    <w:rsid w:val="76771A07"/>
    <w:rsid w:val="767C3FE1"/>
    <w:rsid w:val="767E302B"/>
    <w:rsid w:val="768921A4"/>
    <w:rsid w:val="76895AF9"/>
    <w:rsid w:val="768B5BCE"/>
    <w:rsid w:val="769016B8"/>
    <w:rsid w:val="7692351A"/>
    <w:rsid w:val="76932345"/>
    <w:rsid w:val="76982F33"/>
    <w:rsid w:val="76A5622D"/>
    <w:rsid w:val="76A633ED"/>
    <w:rsid w:val="76A81D96"/>
    <w:rsid w:val="76AB5F51"/>
    <w:rsid w:val="76B02504"/>
    <w:rsid w:val="76B576A3"/>
    <w:rsid w:val="76B97863"/>
    <w:rsid w:val="76C36DA3"/>
    <w:rsid w:val="76C67CB0"/>
    <w:rsid w:val="76D03D47"/>
    <w:rsid w:val="76D3508F"/>
    <w:rsid w:val="76D364A5"/>
    <w:rsid w:val="76D723E3"/>
    <w:rsid w:val="76D84D57"/>
    <w:rsid w:val="76DB3BA3"/>
    <w:rsid w:val="76DC0FA8"/>
    <w:rsid w:val="76DD1650"/>
    <w:rsid w:val="76E02C24"/>
    <w:rsid w:val="76E34A56"/>
    <w:rsid w:val="76E56D71"/>
    <w:rsid w:val="76E6140A"/>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35AF7"/>
    <w:rsid w:val="77650E71"/>
    <w:rsid w:val="776873CB"/>
    <w:rsid w:val="7769549F"/>
    <w:rsid w:val="776A2493"/>
    <w:rsid w:val="776F52BC"/>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935E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B4112"/>
    <w:rsid w:val="785E2773"/>
    <w:rsid w:val="78611B09"/>
    <w:rsid w:val="78631B96"/>
    <w:rsid w:val="7863501F"/>
    <w:rsid w:val="78640065"/>
    <w:rsid w:val="78682E27"/>
    <w:rsid w:val="786C5E43"/>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36064"/>
    <w:rsid w:val="78A51E01"/>
    <w:rsid w:val="78A94085"/>
    <w:rsid w:val="78AA7E6E"/>
    <w:rsid w:val="78B03742"/>
    <w:rsid w:val="78B27DE9"/>
    <w:rsid w:val="78B43694"/>
    <w:rsid w:val="78B459F2"/>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2B72"/>
    <w:rsid w:val="78F34135"/>
    <w:rsid w:val="78F476E4"/>
    <w:rsid w:val="78F5465B"/>
    <w:rsid w:val="78F74D75"/>
    <w:rsid w:val="78F96958"/>
    <w:rsid w:val="79001ACD"/>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2B64AC"/>
    <w:rsid w:val="79312D2A"/>
    <w:rsid w:val="79331259"/>
    <w:rsid w:val="793706B9"/>
    <w:rsid w:val="7938329D"/>
    <w:rsid w:val="793A1AE4"/>
    <w:rsid w:val="793B5D22"/>
    <w:rsid w:val="793B7C47"/>
    <w:rsid w:val="793C7B07"/>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646D0"/>
    <w:rsid w:val="797D5A8D"/>
    <w:rsid w:val="797E3237"/>
    <w:rsid w:val="798073EB"/>
    <w:rsid w:val="798300AD"/>
    <w:rsid w:val="798547D0"/>
    <w:rsid w:val="798B0BA1"/>
    <w:rsid w:val="798B7ED4"/>
    <w:rsid w:val="798E6887"/>
    <w:rsid w:val="799058F1"/>
    <w:rsid w:val="79922980"/>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11C1"/>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5A3399"/>
    <w:rsid w:val="7A682849"/>
    <w:rsid w:val="7A6A4FB7"/>
    <w:rsid w:val="7A6B3DC0"/>
    <w:rsid w:val="7A6C33B7"/>
    <w:rsid w:val="7A6D7652"/>
    <w:rsid w:val="7A735108"/>
    <w:rsid w:val="7A743079"/>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821DD"/>
    <w:rsid w:val="7A9A7DE1"/>
    <w:rsid w:val="7A9D03E1"/>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23BF1"/>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60DEC"/>
    <w:rsid w:val="7BAB4D2A"/>
    <w:rsid w:val="7BAD11FC"/>
    <w:rsid w:val="7BAE28AD"/>
    <w:rsid w:val="7BB53310"/>
    <w:rsid w:val="7BB55C27"/>
    <w:rsid w:val="7BBA1EAE"/>
    <w:rsid w:val="7BBA70B4"/>
    <w:rsid w:val="7BC43B6B"/>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92B5F"/>
    <w:rsid w:val="7C8B4BD5"/>
    <w:rsid w:val="7C8E642B"/>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D070AA"/>
    <w:rsid w:val="7CD215D3"/>
    <w:rsid w:val="7CD258A4"/>
    <w:rsid w:val="7CD31C3B"/>
    <w:rsid w:val="7CD60EFF"/>
    <w:rsid w:val="7CD853D0"/>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C547D"/>
    <w:rsid w:val="7D3E4B1B"/>
    <w:rsid w:val="7D405AA6"/>
    <w:rsid w:val="7D4246D2"/>
    <w:rsid w:val="7D436EF5"/>
    <w:rsid w:val="7D4A7FBA"/>
    <w:rsid w:val="7D50176E"/>
    <w:rsid w:val="7D51035F"/>
    <w:rsid w:val="7D512D55"/>
    <w:rsid w:val="7D5142E5"/>
    <w:rsid w:val="7D543B71"/>
    <w:rsid w:val="7D5709AE"/>
    <w:rsid w:val="7D5813FC"/>
    <w:rsid w:val="7D5E2E71"/>
    <w:rsid w:val="7D60101D"/>
    <w:rsid w:val="7D647CF1"/>
    <w:rsid w:val="7D693A8F"/>
    <w:rsid w:val="7D6B7110"/>
    <w:rsid w:val="7D6E3B3C"/>
    <w:rsid w:val="7D6F5BF1"/>
    <w:rsid w:val="7D7567BB"/>
    <w:rsid w:val="7D793716"/>
    <w:rsid w:val="7D7C7F13"/>
    <w:rsid w:val="7D7D670C"/>
    <w:rsid w:val="7D7E4EE9"/>
    <w:rsid w:val="7D8340D0"/>
    <w:rsid w:val="7D840463"/>
    <w:rsid w:val="7D8B3828"/>
    <w:rsid w:val="7D8F2AC0"/>
    <w:rsid w:val="7D8F4A18"/>
    <w:rsid w:val="7D923E6D"/>
    <w:rsid w:val="7D9729C2"/>
    <w:rsid w:val="7D97639E"/>
    <w:rsid w:val="7D9C3DFE"/>
    <w:rsid w:val="7D9F07C1"/>
    <w:rsid w:val="7DA4255A"/>
    <w:rsid w:val="7DA74CE2"/>
    <w:rsid w:val="7DB23BAB"/>
    <w:rsid w:val="7DBE5ECB"/>
    <w:rsid w:val="7DC4752C"/>
    <w:rsid w:val="7DC55AE8"/>
    <w:rsid w:val="7DC932A8"/>
    <w:rsid w:val="7DCB15B2"/>
    <w:rsid w:val="7DD370F6"/>
    <w:rsid w:val="7DD563EE"/>
    <w:rsid w:val="7DD70066"/>
    <w:rsid w:val="7DD85DBE"/>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E034220"/>
    <w:rsid w:val="7E0753BF"/>
    <w:rsid w:val="7E0972BA"/>
    <w:rsid w:val="7E0976BF"/>
    <w:rsid w:val="7E0E68FC"/>
    <w:rsid w:val="7E0F2115"/>
    <w:rsid w:val="7E0F2C81"/>
    <w:rsid w:val="7E0F3EA6"/>
    <w:rsid w:val="7E0F4721"/>
    <w:rsid w:val="7E1246DB"/>
    <w:rsid w:val="7E165F0E"/>
    <w:rsid w:val="7E1726D8"/>
    <w:rsid w:val="7E1D0F6C"/>
    <w:rsid w:val="7E1E6DC0"/>
    <w:rsid w:val="7E20169A"/>
    <w:rsid w:val="7E274023"/>
    <w:rsid w:val="7E2B327F"/>
    <w:rsid w:val="7E2D5152"/>
    <w:rsid w:val="7E3118B9"/>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1C74"/>
    <w:rsid w:val="7E8E58CF"/>
    <w:rsid w:val="7E924992"/>
    <w:rsid w:val="7E97006E"/>
    <w:rsid w:val="7E971EC6"/>
    <w:rsid w:val="7E986288"/>
    <w:rsid w:val="7E991A2E"/>
    <w:rsid w:val="7E996026"/>
    <w:rsid w:val="7E996FB8"/>
    <w:rsid w:val="7E997CE1"/>
    <w:rsid w:val="7E9B530E"/>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92461"/>
    <w:rsid w:val="7ECB640A"/>
    <w:rsid w:val="7ECD65C3"/>
    <w:rsid w:val="7ED125D2"/>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203CCA"/>
    <w:rsid w:val="7F235B45"/>
    <w:rsid w:val="7F2371D0"/>
    <w:rsid w:val="7F25457C"/>
    <w:rsid w:val="7F27211B"/>
    <w:rsid w:val="7F2B6FB0"/>
    <w:rsid w:val="7F2F17E7"/>
    <w:rsid w:val="7F3C3603"/>
    <w:rsid w:val="7F443395"/>
    <w:rsid w:val="7F5207F4"/>
    <w:rsid w:val="7F563140"/>
    <w:rsid w:val="7F591896"/>
    <w:rsid w:val="7F591F0E"/>
    <w:rsid w:val="7F5B5771"/>
    <w:rsid w:val="7F5D2D4D"/>
    <w:rsid w:val="7F5F27CD"/>
    <w:rsid w:val="7F5F66C5"/>
    <w:rsid w:val="7F601B98"/>
    <w:rsid w:val="7F614A34"/>
    <w:rsid w:val="7F614D28"/>
    <w:rsid w:val="7F6179F3"/>
    <w:rsid w:val="7F63372A"/>
    <w:rsid w:val="7F642634"/>
    <w:rsid w:val="7F6812CE"/>
    <w:rsid w:val="7F69519A"/>
    <w:rsid w:val="7F70218A"/>
    <w:rsid w:val="7F7514A2"/>
    <w:rsid w:val="7F791502"/>
    <w:rsid w:val="7F7D592C"/>
    <w:rsid w:val="7F805AC3"/>
    <w:rsid w:val="7F8649A9"/>
    <w:rsid w:val="7F873895"/>
    <w:rsid w:val="7F891D26"/>
    <w:rsid w:val="7F8A16A6"/>
    <w:rsid w:val="7F8B2886"/>
    <w:rsid w:val="7F8B5253"/>
    <w:rsid w:val="7F8D77FC"/>
    <w:rsid w:val="7F913931"/>
    <w:rsid w:val="7F915207"/>
    <w:rsid w:val="7F960E9D"/>
    <w:rsid w:val="7F98284E"/>
    <w:rsid w:val="7F9B0314"/>
    <w:rsid w:val="7F9D20A5"/>
    <w:rsid w:val="7F9E22BE"/>
    <w:rsid w:val="7F9E68C5"/>
    <w:rsid w:val="7F9F1E71"/>
    <w:rsid w:val="7F9F3CC1"/>
    <w:rsid w:val="7FA54FB8"/>
    <w:rsid w:val="7FA8584F"/>
    <w:rsid w:val="7FA86B51"/>
    <w:rsid w:val="7FAD20F2"/>
    <w:rsid w:val="7FAD3673"/>
    <w:rsid w:val="7FAD3C21"/>
    <w:rsid w:val="7FB11201"/>
    <w:rsid w:val="7FB165D6"/>
    <w:rsid w:val="7FB24452"/>
    <w:rsid w:val="7FB47B1D"/>
    <w:rsid w:val="7FBA238A"/>
    <w:rsid w:val="7FBA548C"/>
    <w:rsid w:val="7FBD5C2C"/>
    <w:rsid w:val="7FC331C5"/>
    <w:rsid w:val="7FC83CB0"/>
    <w:rsid w:val="7FC916D2"/>
    <w:rsid w:val="7FCA5187"/>
    <w:rsid w:val="7FCC570C"/>
    <w:rsid w:val="7FCE0DDA"/>
    <w:rsid w:val="7FD270D3"/>
    <w:rsid w:val="7FD34492"/>
    <w:rsid w:val="7FD94D25"/>
    <w:rsid w:val="7FDC041F"/>
    <w:rsid w:val="7FDD1879"/>
    <w:rsid w:val="7FE1147A"/>
    <w:rsid w:val="7FE17C1C"/>
    <w:rsid w:val="7FE62B41"/>
    <w:rsid w:val="7FEA0E77"/>
    <w:rsid w:val="7FEA56BA"/>
    <w:rsid w:val="7FEB0045"/>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numPr>
        <w:ilvl w:val="2"/>
      </w:numPr>
      <w:outlineLvl w:val="2"/>
    </w:pPr>
  </w:style>
  <w:style w:type="paragraph" w:styleId="5">
    <w:name w:val="heading 4"/>
    <w:basedOn w:val="4"/>
    <w:next w:val="1"/>
    <w:link w:val="66"/>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qFormat/>
    <w:uiPriority w:val="99"/>
    <w:pPr>
      <w:ind w:firstLine="420" w:firstLineChars="200"/>
    </w:pPr>
  </w:style>
  <w:style w:type="character" w:styleId="100">
    <w:name w:val="Placeholder Text"/>
    <w:basedOn w:val="29"/>
    <w:semiHidden/>
    <w:qFormat/>
    <w:uiPriority w:val="99"/>
    <w:rPr>
      <w:color w:val="808080"/>
    </w:rPr>
  </w:style>
  <w:style w:type="paragraph" w:customStyle="1" w:styleId="101">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2">
    <w:name w:val="Statement Body"/>
    <w:basedOn w:val="1"/>
    <w:qFormat/>
    <w:uiPriority w:val="0"/>
  </w:style>
  <w:style w:type="paragraph" w:customStyle="1" w:styleId="103">
    <w:name w:val="xmsonormal"/>
    <w:basedOn w:val="1"/>
    <w:qFormat/>
    <w:uiPriority w:val="99"/>
    <w:pPr>
      <w:spacing w:before="100" w:beforeAutospacing="1" w:after="100" w:afterAutospacing="1"/>
    </w:pPr>
    <w:rPr>
      <w:rFonts w:eastAsia="Calibri" w:cs="Calibri"/>
    </w:rPr>
  </w:style>
  <w:style w:type="paragraph" w:customStyle="1" w:styleId="104">
    <w:name w:val="xa0"/>
    <w:basedOn w:val="1"/>
    <w:qFormat/>
    <w:uiPriority w:val="0"/>
    <w:pPr>
      <w:spacing w:before="100" w:beforeAutospacing="1" w:after="100" w:afterAutospacing="1"/>
    </w:pPr>
    <w:rPr>
      <w:rFonts w:eastAsia="Calibri" w:cs="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9.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7.bin"/><Relationship Id="rId17" Type="http://schemas.openxmlformats.org/officeDocument/2006/relationships/image" Target="media/image7.wmf"/><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D196FA-E11C-4EBC-9816-19DD67898F3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12</Pages>
  <Words>5459</Words>
  <Characters>31118</Characters>
  <Lines>259</Lines>
  <Paragraphs>73</Paragraphs>
  <TotalTime>234</TotalTime>
  <ScaleCrop>false</ScaleCrop>
  <LinksUpToDate>false</LinksUpToDate>
  <CharactersWithSpaces>36504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2021-01-18T03:27:00Z</dcterms:created>
  <dc:creator>ZTE</dc:creator>
  <cp:lastModifiedBy>MM</cp:lastModifiedBy>
  <dcterms:modified xsi:type="dcterms:W3CDTF">2021-08-05T06:03:43Z</dcterms:modified>
  <cp:revision>475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